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Arial" w:cs="Arial" w:eastAsia="Arial" w:hAnsi="Arial"/>
          <w:b/>
          <w:bCs/>
          <w:sz w:val="36"/>
          <w:szCs w:val="36"/>
        </w:rPr>
        <w:t xml:space="preserve">MGT 360 — Management and Organizational Behavior</w:t>
      </w:r>
    </w:p>
    <w:p>
      <w:pPr>
        <w:spacing w:after="60"/>
      </w:pPr>
      <w:r>
        <w:rPr>
          <w:rFonts w:ascii="Arial" w:cs="Arial" w:eastAsia="Arial" w:hAnsi="Arial"/>
          <w:b/>
          <w:bCs/>
          <w:sz w:val="30"/>
          <w:szCs w:val="30"/>
        </w:rPr>
        <w:t xml:space="preserve">Chapter 12 Reading — Change and Innovation: Before You Must, or Because You Must</w:t>
      </w:r>
    </w:p>
    <w:p>
      <w:pPr>
        <w:spacing w:after="160" w:line="276"/>
      </w:pPr>
      <w:r>
        <w:rPr>
          <w:rFonts w:ascii="Arial" w:cs="Arial" w:eastAsia="Arial" w:hAnsi="Arial"/>
          <w:sz w:val="24"/>
          <w:szCs w:val="24"/>
        </w:rPr>
        <w:t xml:space="preserve">California State University, Northridge · David Nazarian College of Business and Economics · Version 2026-08-22</w:t>
      </w:r>
    </w:p>
    <w:p>
      <w:pPr>
        <w:spacing w:after="120"/>
      </w:pPr>
    </w:p>
    <w:p>
      <w:pPr>
        <w:shd w:fill="D9D9D9" w:val="clear"/>
        <w:spacing w:after="240" w:before="240"/>
      </w:pPr>
      <w:r>
        <w:rPr>
          <w:rFonts w:ascii="Arial" w:cs="Arial" w:eastAsia="Arial" w:hAnsi="Arial"/>
          <w:b/>
          <w:bCs/>
          <w:sz w:val="32"/>
          <w:szCs w:val="32"/>
        </w:rPr>
        <w:t xml:space="preserve">Part 1: The Hook — The Company That Jumped and the Company That Was Pushed</w:t>
      </w:r>
    </w:p>
    <w:p>
      <w:pPr>
        <w:spacing w:after="100" w:before="180"/>
      </w:pPr>
      <w:r>
        <w:rPr>
          <w:rFonts w:ascii="Arial" w:cs="Arial" w:eastAsia="Arial" w:hAnsi="Arial"/>
          <w:b/>
          <w:bCs/>
          <w:i/>
          <w:iCs/>
          <w:sz w:val="24"/>
          <w:szCs w:val="24"/>
        </w:rPr>
        <w:t xml:space="preserve">Opening Scene</w:t>
      </w:r>
    </w:p>
    <w:p>
      <w:pPr>
        <w:spacing w:after="160" w:line="276"/>
      </w:pPr>
      <w:r>
        <w:rPr>
          <w:rFonts w:ascii="Arial" w:cs="Arial" w:eastAsia="Arial" w:hAnsi="Arial"/>
          <w:sz w:val="24"/>
          <w:szCs w:val="24"/>
        </w:rPr>
        <w:t xml:space="preserve">In May 2013, Adobe told the world that Creative Suite 6 — the boxed software that had built the company — would be the last box it ever sold. Photoshop, Illustrator, the whole catalog would exist only as Creative Cloud subscriptions.</w:t>
      </w:r>
      <w:r>
        <w:rPr>
          <w:rFonts w:ascii="Arial" w:cs="Arial" w:eastAsia="Arial" w:hAnsi="Arial"/>
          <w:sz w:val="24"/>
          <w:szCs w:val="24"/>
          <w:vertAlign w:val="superscript"/>
        </w:rPr>
        <w:t xml:space="preserve">1</w:t>
      </w:r>
      <w:r>
        <w:rPr>
          <w:rFonts w:ascii="Arial" w:cs="Arial" w:eastAsia="Arial" w:hAnsi="Arial"/>
          <w:sz w:val="24"/>
          <w:szCs w:val="24"/>
          <w:vertAlign w:val="superscript"/>
        </w:rPr>
        <w:t xml:space="preserve">2</w:t>
      </w:r>
      <w:r>
        <w:rPr>
          <w:rFonts w:ascii="Arial" w:cs="Arial" w:eastAsia="Arial" w:hAnsi="Arial"/>
          <w:sz w:val="24"/>
          <w:szCs w:val="24"/>
        </w:rPr>
        <w:t xml:space="preserve"> The perpetual-license business was still generating billions; customers revolted; the stock dropped about 12 percent in the following months as the company itself forecast a revenue gap — CFO Mark Garrett had told investors bluntly that revenue and profit "were going to drop," and asked them to stop watching the declining income statement and watch new metrics instead: subscribers and annualized recurring revenue.</w:t>
      </w:r>
      <w:r>
        <w:rPr>
          <w:rFonts w:ascii="Arial" w:cs="Arial" w:eastAsia="Arial" w:hAnsi="Arial"/>
          <w:sz w:val="24"/>
          <w:szCs w:val="24"/>
          <w:vertAlign w:val="superscript"/>
        </w:rPr>
        <w:t xml:space="preserve">2</w:t>
      </w:r>
      <w:r>
        <w:rPr>
          <w:rFonts w:ascii="Arial" w:cs="Arial" w:eastAsia="Arial" w:hAnsi="Arial"/>
          <w:sz w:val="24"/>
          <w:szCs w:val="24"/>
          <w:vertAlign w:val="superscript"/>
        </w:rPr>
        <w:t xml:space="preserve">4</w:t>
      </w:r>
      <w:r>
        <w:rPr>
          <w:rFonts w:ascii="Arial" w:cs="Arial" w:eastAsia="Arial" w:hAnsi="Arial"/>
          <w:sz w:val="24"/>
          <w:szCs w:val="24"/>
        </w:rPr>
        <w:t xml:space="preserve"> CEO Shantanu Narayen refused a hybrid transition — "rip the bandage off" — reasoning that Adobe should disrupt itself before someone else did.</w:t>
      </w:r>
      <w:r>
        <w:rPr>
          <w:rFonts w:ascii="Arial" w:cs="Arial" w:eastAsia="Arial" w:hAnsi="Arial"/>
          <w:sz w:val="24"/>
          <w:szCs w:val="24"/>
          <w:vertAlign w:val="superscript"/>
        </w:rPr>
        <w:t xml:space="preserve">1</w:t>
      </w:r>
      <w:r>
        <w:rPr>
          <w:rFonts w:ascii="Arial" w:cs="Arial" w:eastAsia="Arial" w:hAnsi="Arial"/>
          <w:sz w:val="24"/>
          <w:szCs w:val="24"/>
        </w:rPr>
        <w:t xml:space="preserve"> The bet compounded for a decade: a million subscribers by the end of 2013, three million by mid-2014, more than 30 million by 2024; subscription revenue grew from $1.23 billion in 2013 to over $18 billion in 2023, total revenue nearly quintupled, and the transition became the template the entire software industry followed.</w:t>
      </w:r>
      <w:r>
        <w:rPr>
          <w:rFonts w:ascii="Arial" w:cs="Arial" w:eastAsia="Arial" w:hAnsi="Arial"/>
          <w:sz w:val="24"/>
          <w:szCs w:val="24"/>
          <w:vertAlign w:val="superscript"/>
        </w:rPr>
        <w:t xml:space="preserve">2</w:t>
      </w:r>
      <w:r>
        <w:rPr>
          <w:rFonts w:ascii="Arial" w:cs="Arial" w:eastAsia="Arial" w:hAnsi="Arial"/>
          <w:sz w:val="24"/>
          <w:szCs w:val="24"/>
          <w:vertAlign w:val="superscript"/>
        </w:rPr>
        <w:t xml:space="preserve">3</w:t>
      </w:r>
      <w:r>
        <w:rPr>
          <w:rFonts w:ascii="Arial" w:cs="Arial" w:eastAsia="Arial" w:hAnsi="Arial"/>
          <w:sz w:val="24"/>
          <w:szCs w:val="24"/>
          <w:vertAlign w:val="superscript"/>
        </w:rPr>
        <w:t xml:space="preserve">5</w:t>
      </w:r>
    </w:p>
    <w:p>
      <w:pPr>
        <w:spacing w:after="160" w:line="276"/>
      </w:pPr>
      <w:r>
        <w:rPr>
          <w:rFonts w:ascii="Arial" w:cs="Arial" w:eastAsia="Arial" w:hAnsi="Arial"/>
          <w:sz w:val="24"/>
          <w:szCs w:val="24"/>
        </w:rPr>
        <w:t xml:space="preserve">Nine years after Adobe's announcement, Southwest Airlines demonstrated the other way organizations change. When Winter Storm Elliott hit in late December 2022, every airline canceled flights; the others recovered in days. Southwest collapsed for ten: roughly 16,900 flights canceled, more than two million passengers stranded over the holidays — the worst operational meltdown in U.S. airline history.</w:t>
      </w:r>
      <w:r>
        <w:rPr>
          <w:rFonts w:ascii="Arial" w:cs="Arial" w:eastAsia="Arial" w:hAnsi="Arial"/>
          <w:sz w:val="24"/>
          <w:szCs w:val="24"/>
          <w:vertAlign w:val="superscript"/>
        </w:rPr>
        <w:t xml:space="preserve">7</w:t>
      </w:r>
      <w:r>
        <w:rPr>
          <w:rFonts w:ascii="Arial" w:cs="Arial" w:eastAsia="Arial" w:hAnsi="Arial"/>
          <w:sz w:val="24"/>
          <w:szCs w:val="24"/>
          <w:vertAlign w:val="superscript"/>
        </w:rPr>
        <w:t xml:space="preserve">8</w:t>
      </w:r>
      <w:r>
        <w:rPr>
          <w:rFonts w:ascii="Arial" w:cs="Arial" w:eastAsia="Arial" w:hAnsi="Arial"/>
          <w:sz w:val="24"/>
          <w:szCs w:val="24"/>
        </w:rPr>
        <w:t xml:space="preserve"> The proximate cause was not weather but deferred change: SkySolver, the airline's aging crew-scheduling software, was overwhelmed by the cascade of reassignments and effectively shut down, leaving schedulers to rebuild the airline by hand.</w:t>
      </w:r>
      <w:r>
        <w:rPr>
          <w:rFonts w:ascii="Arial" w:cs="Arial" w:eastAsia="Arial" w:hAnsi="Arial"/>
          <w:sz w:val="24"/>
          <w:szCs w:val="24"/>
          <w:vertAlign w:val="superscript"/>
        </w:rPr>
        <w:t xml:space="preserve">8</w:t>
      </w:r>
      <w:r>
        <w:rPr>
          <w:rFonts w:ascii="Arial" w:cs="Arial" w:eastAsia="Arial" w:hAnsi="Arial"/>
          <w:sz w:val="24"/>
          <w:szCs w:val="24"/>
        </w:rPr>
        <w:t xml:space="preserve"> The bill for the modernization Southwest hadn't done arrived all at once: over $1.1 billion in refunds, reimbursements, and lost revenue, plus a record $140 million federal penalty — thirty times larger than any prior airline consumer-protection fine.</w:t>
      </w:r>
      <w:r>
        <w:rPr>
          <w:rFonts w:ascii="Arial" w:cs="Arial" w:eastAsia="Arial" w:hAnsi="Arial"/>
          <w:sz w:val="24"/>
          <w:szCs w:val="24"/>
          <w:vertAlign w:val="superscript"/>
        </w:rPr>
        <w:t xml:space="preserve">6</w:t>
      </w:r>
      <w:r>
        <w:rPr>
          <w:rFonts w:ascii="Arial" w:cs="Arial" w:eastAsia="Arial" w:hAnsi="Arial"/>
          <w:sz w:val="24"/>
          <w:szCs w:val="24"/>
          <w:vertAlign w:val="superscript"/>
        </w:rPr>
        <w:t xml:space="preserve">7</w:t>
      </w:r>
      <w:r>
        <w:rPr>
          <w:rFonts w:ascii="Arial" w:cs="Arial" w:eastAsia="Arial" w:hAnsi="Arial"/>
          <w:sz w:val="24"/>
          <w:szCs w:val="24"/>
          <w:vertAlign w:val="superscript"/>
        </w:rPr>
        <w:t xml:space="preserve">9</w:t>
      </w:r>
      <w:r>
        <w:rPr>
          <w:rFonts w:ascii="Arial" w:cs="Arial" w:eastAsia="Arial" w:hAnsi="Arial"/>
          <w:sz w:val="24"/>
          <w:szCs w:val="24"/>
        </w:rPr>
        <w:t xml:space="preserve"> Then, under a regulator's gaze, Southwest executed in three years the transformation it had deferred for a decade — more than $112 million in scheduling and crew-tracking technology within a network investment topping $1 billion — and by late 2025 posted the industry's lowest cancellation rate, persuading the government to waive the fine's final installment in recognition of the turnaround.</w:t>
      </w:r>
      <w:r>
        <w:rPr>
          <w:rFonts w:ascii="Arial" w:cs="Arial" w:eastAsia="Arial" w:hAnsi="Arial"/>
          <w:sz w:val="24"/>
          <w:szCs w:val="24"/>
          <w:vertAlign w:val="superscript"/>
        </w:rPr>
        <w:t xml:space="preserve">9</w:t>
      </w:r>
      <w:r>
        <w:rPr>
          <w:rFonts w:ascii="Arial" w:cs="Arial" w:eastAsia="Arial" w:hAnsi="Arial"/>
          <w:sz w:val="24"/>
          <w:szCs w:val="24"/>
          <w:vertAlign w:val="superscript"/>
        </w:rPr>
        <w:t xml:space="preserve">10</w:t>
      </w:r>
    </w:p>
    <w:p>
      <w:pPr>
        <w:spacing w:after="100" w:before="180"/>
      </w:pPr>
      <w:r>
        <w:rPr>
          <w:rFonts w:ascii="Arial" w:cs="Arial" w:eastAsia="Arial" w:hAnsi="Arial"/>
          <w:b/>
          <w:bCs/>
          <w:i/>
          <w:iCs/>
          <w:sz w:val="24"/>
          <w:szCs w:val="24"/>
        </w:rPr>
        <w:t xml:space="preserve">The Unresolved Question</w:t>
      </w:r>
    </w:p>
    <w:p>
      <w:pPr>
        <w:spacing w:after="160" w:line="276"/>
      </w:pPr>
      <w:r>
        <w:rPr>
          <w:rFonts w:ascii="Arial" w:cs="Arial" w:eastAsia="Arial" w:hAnsi="Arial"/>
          <w:sz w:val="24"/>
          <w:szCs w:val="24"/>
        </w:rPr>
        <w:t xml:space="preserve">Both companies proved capable of profound change — Southwest's post-crisis execution was genuinely excellent. So capability was never the issue. The issue is </w:t>
      </w:r>
      <w:r>
        <w:rPr>
          <w:rFonts w:ascii="Arial" w:cs="Arial" w:eastAsia="Arial" w:hAnsi="Arial"/>
          <w:b/>
          <w:bCs/>
          <w:sz w:val="24"/>
          <w:szCs w:val="24"/>
        </w:rPr>
        <w:t xml:space="preserve">timing</w:t>
      </w:r>
      <w:r>
        <w:rPr>
          <w:rFonts w:ascii="Arial" w:cs="Arial" w:eastAsia="Arial" w:hAnsi="Arial"/>
          <w:sz w:val="24"/>
          <w:szCs w:val="24"/>
        </w:rPr>
        <w:t xml:space="preserve">: Adobe changed while it was winning, paying a voluntary, controlled price; Southwest changed after the environment collected an involuntary, catastrophic one. Why is the Adobe pattern so rare and the Southwest pattern so common — in companies full of smart people who can usually see the change coming? And when you are the one leading change, what actually moves an organization: vision, pressure, process, or something else?</w:t>
      </w:r>
    </w:p>
    <w:p>
      <w:pPr>
        <w:spacing w:after="100" w:before="180"/>
      </w:pPr>
      <w:r>
        <w:rPr>
          <w:rFonts w:ascii="Arial" w:cs="Arial" w:eastAsia="Arial" w:hAnsi="Arial"/>
          <w:b/>
          <w:bCs/>
          <w:i/>
          <w:iCs/>
          <w:sz w:val="24"/>
          <w:szCs w:val="24"/>
        </w:rPr>
        <w:t xml:space="preserve">Chapter Roadmap</w:t>
      </w:r>
    </w:p>
    <w:p>
      <w:pPr>
        <w:spacing w:after="160" w:line="276"/>
      </w:pPr>
      <w:r>
        <w:rPr>
          <w:rFonts w:ascii="Arial" w:cs="Arial" w:eastAsia="Arial" w:hAnsi="Arial"/>
          <w:sz w:val="24"/>
          <w:szCs w:val="24"/>
        </w:rPr>
        <w:t xml:space="preserve">The central question — the course's closing question: </w:t>
      </w:r>
      <w:r>
        <w:rPr>
          <w:rFonts w:ascii="Arial" w:cs="Arial" w:eastAsia="Arial" w:hAnsi="Arial"/>
          <w:b/>
          <w:bCs/>
          <w:sz w:val="24"/>
          <w:szCs w:val="24"/>
        </w:rPr>
        <w:t xml:space="preserve">why do organizations change too late, and what does changing on time actually require?</w:t>
      </w:r>
      <w:r>
        <w:rPr>
          <w:rFonts w:ascii="Arial" w:cs="Arial" w:eastAsia="Arial" w:hAnsi="Arial"/>
          <w:sz w:val="24"/>
          <w:szCs w:val="24"/>
        </w:rPr>
        <w:t xml:space="preserve"> The tools: why inertia is structural, not stupid; the planned-change playbooks (Lewin, Kotter) and their limits; the modern rethinking of "resistance"; disruptive innovation — why listening to your best customers can kill you; the mechanics of successful self-disruption; and technical debt — the quiet accounting of every change deferred. Adobe and Southwest then return as the definitive matched pair, and the chapter closes by gathering the whole course.</w:t>
      </w:r>
    </w:p>
    <w:p>
      <w:r>
        <w:br w:type="page"/>
      </w:r>
    </w:p>
    <w:p>
      <w:pPr>
        <w:shd w:fill="D9D9D9" w:val="clear"/>
        <w:spacing w:after="240" w:before="240"/>
      </w:pPr>
      <w:r>
        <w:rPr>
          <w:rFonts w:ascii="Arial" w:cs="Arial" w:eastAsia="Arial" w:hAnsi="Arial"/>
          <w:b/>
          <w:bCs/>
          <w:sz w:val="32"/>
          <w:szCs w:val="32"/>
        </w:rPr>
        <w:t xml:space="preserve">Part 2: Core Concepts</w:t>
      </w:r>
    </w:p>
    <w:p>
      <w:pPr>
        <w:spacing w:after="120" w:before="240"/>
      </w:pPr>
      <w:r>
        <w:rPr>
          <w:rFonts w:ascii="Arial" w:cs="Arial" w:eastAsia="Arial" w:hAnsi="Arial"/>
          <w:b/>
          <w:bCs/>
          <w:sz w:val="28"/>
          <w:szCs w:val="28"/>
        </w:rPr>
        <w:t xml:space="preserve">2.1  Why Change Is Hard: Inertia by Design</w:t>
      </w:r>
    </w:p>
    <w:p>
      <w:pPr>
        <w:spacing w:after="100" w:before="180"/>
      </w:pPr>
      <w:r>
        <w:rPr>
          <w:rFonts w:ascii="Arial" w:cs="Arial" w:eastAsia="Arial" w:hAnsi="Arial"/>
          <w:b/>
          <w:bCs/>
          <w:i/>
          <w:iCs/>
          <w:sz w:val="24"/>
          <w:szCs w:val="24"/>
        </w:rPr>
        <w:t xml:space="preserve">Definition, Evidence, and Limits</w:t>
      </w:r>
    </w:p>
    <w:p>
      <w:pPr>
        <w:spacing w:after="160" w:line="276"/>
      </w:pPr>
      <w:r>
        <w:rPr>
          <w:rFonts w:ascii="Arial" w:cs="Arial" w:eastAsia="Arial" w:hAnsi="Arial"/>
          <w:sz w:val="24"/>
          <w:szCs w:val="24"/>
        </w:rPr>
        <w:t xml:space="preserve">Organizational </w:t>
      </w:r>
      <w:r>
        <w:rPr>
          <w:rFonts w:ascii="Arial" w:cs="Arial" w:eastAsia="Arial" w:hAnsi="Arial"/>
          <w:b/>
          <w:bCs/>
          <w:sz w:val="24"/>
          <w:szCs w:val="24"/>
        </w:rPr>
        <w:t xml:space="preserve">inertia</w:t>
      </w:r>
      <w:r>
        <w:rPr>
          <w:rFonts w:ascii="Arial" w:cs="Arial" w:eastAsia="Arial" w:hAnsi="Arial"/>
          <w:sz w:val="24"/>
          <w:szCs w:val="24"/>
        </w:rPr>
        <w:t xml:space="preserve"> is not laziness; it is the shadow side of everything this course has praised. Structures that deliver reliability (Week 9), cultures that coordinate without supervision (Week 8), incentives that focus effort (Week 3), and routines refined by exploitation (Week 9's March) all work by making behavior </w:t>
      </w:r>
      <w:r>
        <w:rPr>
          <w:rFonts w:ascii="Arial" w:cs="Arial" w:eastAsia="Arial" w:hAnsi="Arial"/>
          <w:b/>
          <w:bCs/>
          <w:sz w:val="24"/>
          <w:szCs w:val="24"/>
        </w:rPr>
        <w:t xml:space="preserve">repeatable</w:t>
      </w:r>
      <w:r>
        <w:rPr>
          <w:rFonts w:ascii="Arial" w:cs="Arial" w:eastAsia="Arial" w:hAnsi="Arial"/>
          <w:sz w:val="24"/>
          <w:szCs w:val="24"/>
        </w:rPr>
        <w:t xml:space="preserve"> — which is precisely what change must break. Connie Gersick's punctuated equilibrium model generalizes her Week 5 finding to organizations and industries: systems elaborate a stable "deep structure" for long periods, resist fundamental change while absorbing incremental tweaks, and transform only in revolutionary bursts, typically triggered by crisis or leadership change.</w:t>
      </w:r>
      <w:r>
        <w:rPr>
          <w:rFonts w:ascii="Arial" w:cs="Arial" w:eastAsia="Arial" w:hAnsi="Arial"/>
          <w:sz w:val="24"/>
          <w:szCs w:val="24"/>
          <w:vertAlign w:val="superscript"/>
        </w:rPr>
        <w:t xml:space="preserve">11</w:t>
      </w:r>
      <w:r>
        <w:rPr>
          <w:rFonts w:ascii="Arial" w:cs="Arial" w:eastAsia="Arial" w:hAnsi="Arial"/>
          <w:sz w:val="24"/>
          <w:szCs w:val="24"/>
        </w:rPr>
        <w:t xml:space="preserve"> Add March's competency trap — organizations get better and better at what matters less and less</w:t>
      </w:r>
      <w:r>
        <w:rPr>
          <w:rFonts w:ascii="Arial" w:cs="Arial" w:eastAsia="Arial" w:hAnsi="Arial"/>
          <w:sz w:val="24"/>
          <w:szCs w:val="24"/>
          <w:vertAlign w:val="superscript"/>
        </w:rPr>
        <w:t xml:space="preserve">12</w:t>
      </w:r>
      <w:r>
        <w:rPr>
          <w:rFonts w:ascii="Arial" w:cs="Arial" w:eastAsia="Arial" w:hAnsi="Arial"/>
          <w:sz w:val="24"/>
          <w:szCs w:val="24"/>
        </w:rPr>
        <w:t xml:space="preserve"> — and the Southwest pattern stops looking like negligence and starts looking like a default: every quarter, patching SkySolver beat replacing it on every metric anyone was paid to watch, until the one quarter it didn't.</w:t>
      </w:r>
      <w:r>
        <w:rPr>
          <w:rFonts w:ascii="Arial" w:cs="Arial" w:eastAsia="Arial" w:hAnsi="Arial"/>
          <w:sz w:val="24"/>
          <w:szCs w:val="24"/>
          <w:vertAlign w:val="superscript"/>
        </w:rPr>
        <w:t xml:space="preserve">8</w:t>
      </w:r>
      <w:r>
        <w:rPr>
          <w:rFonts w:ascii="Arial" w:cs="Arial" w:eastAsia="Arial" w:hAnsi="Arial"/>
          <w:sz w:val="24"/>
          <w:szCs w:val="24"/>
        </w:rPr>
        <w:t xml:space="preserve"> The limit of inertia theory is fatalism: punctuation is the default, not a law — Adobe is proof that deep structure can be changed deliberately — but the theory correctly prices what deliberate change must overcome.</w:t>
      </w:r>
    </w:p>
    <w:p>
      <w:pPr>
        <w:spacing w:after="120" w:before="240"/>
      </w:pPr>
      <w:r>
        <w:rPr>
          <w:rFonts w:ascii="Arial" w:cs="Arial" w:eastAsia="Arial" w:hAnsi="Arial"/>
          <w:b/>
          <w:bCs/>
          <w:sz w:val="28"/>
          <w:szCs w:val="28"/>
        </w:rPr>
        <w:t xml:space="preserve">2.2  The Playbooks: Lewin and Kotter</w:t>
      </w:r>
    </w:p>
    <w:p>
      <w:pPr>
        <w:spacing w:after="100" w:before="180"/>
      </w:pPr>
      <w:r>
        <w:rPr>
          <w:rFonts w:ascii="Arial" w:cs="Arial" w:eastAsia="Arial" w:hAnsi="Arial"/>
          <w:b/>
          <w:bCs/>
          <w:i/>
          <w:iCs/>
          <w:sz w:val="24"/>
          <w:szCs w:val="24"/>
        </w:rPr>
        <w:t xml:space="preserve">Definition and Origin</w:t>
      </w:r>
    </w:p>
    <w:p>
      <w:pPr>
        <w:spacing w:after="160" w:line="276"/>
      </w:pPr>
      <w:r>
        <w:rPr>
          <w:rFonts w:ascii="Arial" w:cs="Arial" w:eastAsia="Arial" w:hAnsi="Arial"/>
          <w:sz w:val="24"/>
          <w:szCs w:val="24"/>
        </w:rPr>
        <w:t xml:space="preserve">Kurt Lewin's foundational model frames change in three movements: </w:t>
      </w:r>
      <w:r>
        <w:rPr>
          <w:rFonts w:ascii="Arial" w:cs="Arial" w:eastAsia="Arial" w:hAnsi="Arial"/>
          <w:b/>
          <w:bCs/>
          <w:sz w:val="24"/>
          <w:szCs w:val="24"/>
        </w:rPr>
        <w:t xml:space="preserve">unfreezing</w:t>
      </w:r>
      <w:r>
        <w:rPr>
          <w:rFonts w:ascii="Arial" w:cs="Arial" w:eastAsia="Arial" w:hAnsi="Arial"/>
          <w:sz w:val="24"/>
          <w:szCs w:val="24"/>
        </w:rPr>
        <w:t xml:space="preserve"> (destabilizing the current equilibrium — creating felt dissatisfaction with the status quo), </w:t>
      </w:r>
      <w:r>
        <w:rPr>
          <w:rFonts w:ascii="Arial" w:cs="Arial" w:eastAsia="Arial" w:hAnsi="Arial"/>
          <w:b/>
          <w:bCs/>
          <w:sz w:val="24"/>
          <w:szCs w:val="24"/>
        </w:rPr>
        <w:t xml:space="preserve">moving</w:t>
      </w:r>
      <w:r>
        <w:rPr>
          <w:rFonts w:ascii="Arial" w:cs="Arial" w:eastAsia="Arial" w:hAnsi="Arial"/>
          <w:sz w:val="24"/>
          <w:szCs w:val="24"/>
        </w:rPr>
        <w:t xml:space="preserve"> (introducing and practicing the new pattern), and </w:t>
      </w:r>
      <w:r>
        <w:rPr>
          <w:rFonts w:ascii="Arial" w:cs="Arial" w:eastAsia="Arial" w:hAnsi="Arial"/>
          <w:b/>
          <w:bCs/>
          <w:sz w:val="24"/>
          <w:szCs w:val="24"/>
        </w:rPr>
        <w:t xml:space="preserve">refreezing</w:t>
      </w:r>
      <w:r>
        <w:rPr>
          <w:rFonts w:ascii="Arial" w:cs="Arial" w:eastAsia="Arial" w:hAnsi="Arial"/>
          <w:sz w:val="24"/>
          <w:szCs w:val="24"/>
        </w:rPr>
        <w:t xml:space="preserve"> (anchoring the new pattern in structures, incentives, and norms so it persists).</w:t>
      </w:r>
      <w:r>
        <w:rPr>
          <w:rFonts w:ascii="Arial" w:cs="Arial" w:eastAsia="Arial" w:hAnsi="Arial"/>
          <w:sz w:val="24"/>
          <w:szCs w:val="24"/>
          <w:vertAlign w:val="superscript"/>
        </w:rPr>
        <w:t xml:space="preserve">13</w:t>
      </w:r>
      <w:r>
        <w:rPr>
          <w:rFonts w:ascii="Arial" w:cs="Arial" w:eastAsia="Arial" w:hAnsi="Arial"/>
          <w:sz w:val="24"/>
          <w:szCs w:val="24"/>
        </w:rPr>
        <w:t xml:space="preserve"> John Kotter's eight steps operationalize the sequence for large organizations: establish urgency; build a guiding coalition; form and communicate a vision; empower broad action; generate short-term wins; consolidate and keep going; anchor the changes in culture — with his famous field observation that most transformations fail, usually by skipping urgency or declaring victory early.</w:t>
      </w:r>
      <w:r>
        <w:rPr>
          <w:rFonts w:ascii="Arial" w:cs="Arial" w:eastAsia="Arial" w:hAnsi="Arial"/>
          <w:sz w:val="24"/>
          <w:szCs w:val="24"/>
          <w:vertAlign w:val="superscript"/>
        </w:rPr>
        <w:t xml:space="preserve">14</w:t>
      </w:r>
    </w:p>
    <w:p>
      <w:pPr>
        <w:spacing w:after="100" w:before="180"/>
      </w:pPr>
      <w:r>
        <w:rPr>
          <w:rFonts w:ascii="Arial" w:cs="Arial" w:eastAsia="Arial" w:hAnsi="Arial"/>
          <w:b/>
          <w:bCs/>
          <w:i/>
          <w:iCs/>
          <w:sz w:val="24"/>
          <w:szCs w:val="24"/>
        </w:rPr>
        <w:t xml:space="preserve">Why It Matters and Where It Breaks Down</w:t>
      </w:r>
    </w:p>
    <w:p>
      <w:pPr>
        <w:spacing w:after="160" w:line="276"/>
      </w:pPr>
      <w:r>
        <w:rPr>
          <w:rFonts w:ascii="Arial" w:cs="Arial" w:eastAsia="Arial" w:hAnsi="Arial"/>
          <w:sz w:val="24"/>
          <w:szCs w:val="24"/>
        </w:rPr>
        <w:t xml:space="preserve">The playbooks encode real regularities, visible in both hook cases: Adobe manufactured urgency without a crisis (piracy data, stagnating upgrade cycles, competitor analysis), communicated relentlessly, generated countable short-term wins (quarterly ARR and subscriber numbers — new metrics as a refreezing device), and anchored the model until the industry followed;</w:t>
      </w:r>
      <w:r>
        <w:rPr>
          <w:rFonts w:ascii="Arial" w:cs="Arial" w:eastAsia="Arial" w:hAnsi="Arial"/>
          <w:sz w:val="24"/>
          <w:szCs w:val="24"/>
          <w:vertAlign w:val="superscript"/>
        </w:rPr>
        <w:t xml:space="preserve">1</w:t>
      </w:r>
      <w:r>
        <w:rPr>
          <w:rFonts w:ascii="Arial" w:cs="Arial" w:eastAsia="Arial" w:hAnsi="Arial"/>
          <w:sz w:val="24"/>
          <w:szCs w:val="24"/>
          <w:vertAlign w:val="superscript"/>
        </w:rPr>
        <w:t xml:space="preserve">2</w:t>
      </w:r>
      <w:r>
        <w:rPr>
          <w:rFonts w:ascii="Arial" w:cs="Arial" w:eastAsia="Arial" w:hAnsi="Arial"/>
          <w:sz w:val="24"/>
          <w:szCs w:val="24"/>
          <w:vertAlign w:val="superscript"/>
        </w:rPr>
        <w:t xml:space="preserve">4</w:t>
      </w:r>
      <w:r>
        <w:rPr>
          <w:rFonts w:ascii="Arial" w:cs="Arial" w:eastAsia="Arial" w:hAnsi="Arial"/>
          <w:sz w:val="24"/>
          <w:szCs w:val="24"/>
        </w:rPr>
        <w:t xml:space="preserve"> Southwest skipped unfreezing for a decade and had it performed by a snowstorm.</w:t>
      </w:r>
      <w:r>
        <w:rPr>
          <w:rFonts w:ascii="Arial" w:cs="Arial" w:eastAsia="Arial" w:hAnsi="Arial"/>
          <w:sz w:val="24"/>
          <w:szCs w:val="24"/>
          <w:vertAlign w:val="superscript"/>
        </w:rPr>
        <w:t xml:space="preserve">8</w:t>
      </w:r>
      <w:r>
        <w:rPr>
          <w:rFonts w:ascii="Arial" w:cs="Arial" w:eastAsia="Arial" w:hAnsi="Arial"/>
          <w:sz w:val="24"/>
          <w:szCs w:val="24"/>
        </w:rPr>
        <w:t xml:space="preserve"> The critiques matter equally: the models are linear and top-down in a world where change is often continuous and emergent; "refreezing" reads strangely when the next change starts before the last one sets; urgency is routinely faked, and employees — who have survived several Kotter decks already — can tell. Treat the playbooks as checklists of failure modes to avoid, not recipes that produce success.</w:t>
      </w:r>
    </w:p>
    <w:p>
      <w:pPr>
        <w:spacing w:after="120" w:before="240"/>
      </w:pPr>
      <w:r>
        <w:rPr>
          <w:rFonts w:ascii="Arial" w:cs="Arial" w:eastAsia="Arial" w:hAnsi="Arial"/>
          <w:b/>
          <w:bCs/>
          <w:sz w:val="28"/>
          <w:szCs w:val="28"/>
        </w:rPr>
        <w:t xml:space="preserve">2.3  Rethinking Resistance</w:t>
      </w:r>
    </w:p>
    <w:p>
      <w:pPr>
        <w:spacing w:after="100" w:before="180"/>
      </w:pPr>
      <w:r>
        <w:rPr>
          <w:rFonts w:ascii="Arial" w:cs="Arial" w:eastAsia="Arial" w:hAnsi="Arial"/>
          <w:b/>
          <w:bCs/>
          <w:i/>
          <w:iCs/>
          <w:sz w:val="24"/>
          <w:szCs w:val="24"/>
        </w:rPr>
        <w:t xml:space="preserve">Definition, Evidence, and Limits</w:t>
      </w:r>
    </w:p>
    <w:p>
      <w:pPr>
        <w:spacing w:after="160" w:line="276"/>
      </w:pPr>
      <w:r>
        <w:rPr>
          <w:rFonts w:ascii="Arial" w:cs="Arial" w:eastAsia="Arial" w:hAnsi="Arial"/>
          <w:sz w:val="24"/>
          <w:szCs w:val="24"/>
        </w:rPr>
        <w:t xml:space="preserve">The traditional model casts "resistance to change" as an irrational force in others that change agents must overcome. Ford, Ford, and D'Amelio's influential corrective dismantles the frame: resistance is partly a </w:t>
      </w:r>
      <w:r>
        <w:rPr>
          <w:rFonts w:ascii="Arial" w:cs="Arial" w:eastAsia="Arial" w:hAnsi="Arial"/>
          <w:b/>
          <w:bCs/>
          <w:sz w:val="24"/>
          <w:szCs w:val="24"/>
        </w:rPr>
        <w:t xml:space="preserve">story change agents tell</w:t>
      </w:r>
      <w:r>
        <w:rPr>
          <w:rFonts w:ascii="Arial" w:cs="Arial" w:eastAsia="Arial" w:hAnsi="Arial"/>
          <w:sz w:val="24"/>
          <w:szCs w:val="24"/>
        </w:rPr>
        <w:t xml:space="preserve"> to explain their own failures; agents themselves cause much of what they label resistance — through broken promises, poor communication, and unacknowledged past betrayals; and resistance is frequently a </w:t>
      </w:r>
      <w:r>
        <w:rPr>
          <w:rFonts w:ascii="Arial" w:cs="Arial" w:eastAsia="Arial" w:hAnsi="Arial"/>
          <w:b/>
          <w:bCs/>
          <w:sz w:val="24"/>
          <w:szCs w:val="24"/>
        </w:rPr>
        <w:t xml:space="preserve">resource</w:t>
      </w:r>
      <w:r>
        <w:rPr>
          <w:rFonts w:ascii="Arial" w:cs="Arial" w:eastAsia="Arial" w:hAnsi="Arial"/>
          <w:sz w:val="24"/>
          <w:szCs w:val="24"/>
        </w:rPr>
        <w:t xml:space="preserve"> — engagement rather than apathy, and often the only honest feedback about a flawed plan the agent will receive.</w:t>
      </w:r>
      <w:r>
        <w:rPr>
          <w:rFonts w:ascii="Arial" w:cs="Arial" w:eastAsia="Arial" w:hAnsi="Arial"/>
          <w:sz w:val="24"/>
          <w:szCs w:val="24"/>
          <w:vertAlign w:val="superscript"/>
        </w:rPr>
        <w:t xml:space="preserve">15</w:t>
      </w:r>
      <w:r>
        <w:rPr>
          <w:rFonts w:ascii="Arial" w:cs="Arial" w:eastAsia="Arial" w:hAnsi="Arial"/>
          <w:sz w:val="24"/>
          <w:szCs w:val="24"/>
        </w:rPr>
        <w:t xml:space="preserve"> The reframe converts Week 5's psychological safety and Week 3's justice into change tools: people rarely resist change in the abstract; they resist </w:t>
      </w:r>
      <w:r>
        <w:rPr>
          <w:rFonts w:ascii="Arial" w:cs="Arial" w:eastAsia="Arial" w:hAnsi="Arial"/>
          <w:b/>
          <w:bCs/>
          <w:sz w:val="24"/>
          <w:szCs w:val="24"/>
        </w:rPr>
        <w:t xml:space="preserve">loss</w:t>
      </w:r>
      <w:r>
        <w:rPr>
          <w:rFonts w:ascii="Arial" w:cs="Arial" w:eastAsia="Arial" w:hAnsi="Arial"/>
          <w:sz w:val="24"/>
          <w:szCs w:val="24"/>
        </w:rPr>
        <w:t xml:space="preserve"> (of competence, status, identity, security) and </w:t>
      </w:r>
      <w:r>
        <w:rPr>
          <w:rFonts w:ascii="Arial" w:cs="Arial" w:eastAsia="Arial" w:hAnsi="Arial"/>
          <w:b/>
          <w:bCs/>
          <w:sz w:val="24"/>
          <w:szCs w:val="24"/>
        </w:rPr>
        <w:t xml:space="preserve">unfairness</w:t>
      </w:r>
      <w:r>
        <w:rPr>
          <w:rFonts w:ascii="Arial" w:cs="Arial" w:eastAsia="Arial" w:hAnsi="Arial"/>
          <w:sz w:val="24"/>
          <w:szCs w:val="24"/>
        </w:rPr>
        <w:t xml:space="preserve"> (imposed process, no voice), which are specific, addressable, and — the research on participation consistently shows — dramatically reduced when those affected help design the change. Adobe's transition worked partly because the company treated objections as design input — pricing tiers, transition offers, transparent metrics — rather than as noise to overpower.</w:t>
      </w:r>
      <w:r>
        <w:rPr>
          <w:rFonts w:ascii="Arial" w:cs="Arial" w:eastAsia="Arial" w:hAnsi="Arial"/>
          <w:sz w:val="24"/>
          <w:szCs w:val="24"/>
          <w:vertAlign w:val="superscript"/>
        </w:rPr>
        <w:t xml:space="preserve">2</w:t>
      </w:r>
      <w:r>
        <w:rPr>
          <w:rFonts w:ascii="Arial" w:cs="Arial" w:eastAsia="Arial" w:hAnsi="Arial"/>
          <w:sz w:val="24"/>
          <w:szCs w:val="24"/>
          <w:vertAlign w:val="superscript"/>
        </w:rPr>
        <w:t xml:space="preserve">4</w:t>
      </w:r>
      <w:r>
        <w:rPr>
          <w:rFonts w:ascii="Arial" w:cs="Arial" w:eastAsia="Arial" w:hAnsi="Arial"/>
          <w:sz w:val="24"/>
          <w:szCs w:val="24"/>
        </w:rPr>
        <w:t xml:space="preserve"> Limits: the reframe can romanticize; some opposition really is entrenched interest defending a position the organization cannot afford to preserve, and the manager's craft is telling feedback from filibuster — usually by testing whether the objection comes with an alternative attached.</w:t>
      </w:r>
    </w:p>
    <w:p>
      <w:pPr>
        <w:spacing w:after="120" w:before="240"/>
      </w:pPr>
      <w:r>
        <w:rPr>
          <w:rFonts w:ascii="Arial" w:cs="Arial" w:eastAsia="Arial" w:hAnsi="Arial"/>
          <w:b/>
          <w:bCs/>
          <w:sz w:val="28"/>
          <w:szCs w:val="28"/>
        </w:rPr>
        <w:t xml:space="preserve">2.4  Disruptive Innovation: The Innovator's Dilemma</w:t>
      </w:r>
    </w:p>
    <w:p>
      <w:pPr>
        <w:spacing w:after="100" w:before="180"/>
      </w:pPr>
      <w:r>
        <w:rPr>
          <w:rFonts w:ascii="Arial" w:cs="Arial" w:eastAsia="Arial" w:hAnsi="Arial"/>
          <w:b/>
          <w:bCs/>
          <w:i/>
          <w:iCs/>
          <w:sz w:val="24"/>
          <w:szCs w:val="24"/>
        </w:rPr>
        <w:t xml:space="preserve">Definition, Evidence, and Limits</w:t>
      </w:r>
    </w:p>
    <w:p>
      <w:pPr>
        <w:spacing w:after="160" w:line="276"/>
      </w:pPr>
      <w:r>
        <w:rPr>
          <w:rFonts w:ascii="Arial" w:cs="Arial" w:eastAsia="Arial" w:hAnsi="Arial"/>
          <w:sz w:val="24"/>
          <w:szCs w:val="24"/>
        </w:rPr>
        <w:t xml:space="preserve">Clayton Christensen's theory answers this chapter's central question with a mechanism: great companies fail </w:t>
      </w:r>
      <w:r>
        <w:rPr>
          <w:rFonts w:ascii="Arial" w:cs="Arial" w:eastAsia="Arial" w:hAnsi="Arial"/>
          <w:b/>
          <w:bCs/>
          <w:sz w:val="24"/>
          <w:szCs w:val="24"/>
        </w:rPr>
        <w:t xml:space="preserve">because</w:t>
      </w:r>
      <w:r>
        <w:rPr>
          <w:rFonts w:ascii="Arial" w:cs="Arial" w:eastAsia="Arial" w:hAnsi="Arial"/>
          <w:sz w:val="24"/>
          <w:szCs w:val="24"/>
        </w:rPr>
        <w:t xml:space="preserve"> they are well managed. </w:t>
      </w:r>
      <w:r>
        <w:rPr>
          <w:rFonts w:ascii="Arial" w:cs="Arial" w:eastAsia="Arial" w:hAnsi="Arial"/>
          <w:b/>
          <w:bCs/>
          <w:sz w:val="24"/>
          <w:szCs w:val="24"/>
        </w:rPr>
        <w:t xml:space="preserve">Disruptive innovations</w:t>
      </w:r>
      <w:r>
        <w:rPr>
          <w:rFonts w:ascii="Arial" w:cs="Arial" w:eastAsia="Arial" w:hAnsi="Arial"/>
          <w:sz w:val="24"/>
          <w:szCs w:val="24"/>
        </w:rPr>
        <w:t xml:space="preserve"> enter as cheaper, worse-performing products serving overlooked segments; incumbents — rationally listening to their best customers and protecting their best margins — cede the low end, and the disruption improves until it satisfies the mainstream, at which point the incumbent's advantages are irrelevant.</w:t>
      </w:r>
      <w:r>
        <w:rPr>
          <w:rFonts w:ascii="Arial" w:cs="Arial" w:eastAsia="Arial" w:hAnsi="Arial"/>
          <w:sz w:val="24"/>
          <w:szCs w:val="24"/>
          <w:vertAlign w:val="superscript"/>
        </w:rPr>
        <w:t xml:space="preserve">16</w:t>
      </w:r>
      <w:r>
        <w:rPr>
          <w:rFonts w:ascii="Arial" w:cs="Arial" w:eastAsia="Arial" w:hAnsi="Arial"/>
          <w:sz w:val="24"/>
          <w:szCs w:val="24"/>
        </w:rPr>
        <w:t xml:space="preserve"> The dilemma is that every standard tool of good management — customer focus, margin discipline, resource allocation to proven markets — votes against the response that survival requires. The theory illuminated Week 9's Intel (mobile chips were exactly a low-margin, worse-performance segment its processes rejected) and frames Adobe's move: subscriptions were the classic disruptive form — lower entry price, initially derided — and Adobe's distinction is that it disrupted </w:t>
      </w:r>
      <w:r>
        <w:rPr>
          <w:rFonts w:ascii="Arial" w:cs="Arial" w:eastAsia="Arial" w:hAnsi="Arial"/>
          <w:b/>
          <w:bCs/>
          <w:sz w:val="24"/>
          <w:szCs w:val="24"/>
        </w:rPr>
        <w:t xml:space="preserve">itself</w:t>
      </w:r>
      <w:r>
        <w:rPr>
          <w:rFonts w:ascii="Arial" w:cs="Arial" w:eastAsia="Arial" w:hAnsi="Arial"/>
          <w:sz w:val="24"/>
          <w:szCs w:val="24"/>
        </w:rPr>
        <w:t xml:space="preserve">, accepting the cannibalization incumbents usually refuse.</w:t>
      </w:r>
      <w:r>
        <w:rPr>
          <w:rFonts w:ascii="Arial" w:cs="Arial" w:eastAsia="Arial" w:hAnsi="Arial"/>
          <w:sz w:val="24"/>
          <w:szCs w:val="24"/>
          <w:vertAlign w:val="superscript"/>
        </w:rPr>
        <w:t xml:space="preserve">1</w:t>
      </w:r>
      <w:r>
        <w:rPr>
          <w:rFonts w:ascii="Arial" w:cs="Arial" w:eastAsia="Arial" w:hAnsi="Arial"/>
          <w:sz w:val="24"/>
          <w:szCs w:val="24"/>
          <w:vertAlign w:val="superscript"/>
        </w:rPr>
        <w:t xml:space="preserve">16</w:t>
      </w:r>
      <w:r>
        <w:rPr>
          <w:rFonts w:ascii="Arial" w:cs="Arial" w:eastAsia="Arial" w:hAnsi="Arial"/>
          <w:sz w:val="24"/>
          <w:szCs w:val="24"/>
        </w:rPr>
        <w:t xml:space="preserve"> Honest limits, which serious readers of Christensen require: the theory's predictive power is contested (critics note selective case sampling and famous misfires), "disruption" has been diluted into a synonym for any innovation, and not every low-end entrant wins — the theory identifies a real trap, not a universal fate. Use it as a standing question — *what worse-but-cheaper thing are our best customers telling us to ignore?* — rather than a prophecy.</w:t>
      </w:r>
    </w:p>
    <w:p>
      <w:pPr>
        <w:spacing w:after="120" w:before="240"/>
      </w:pPr>
      <w:r>
        <w:rPr>
          <w:rFonts w:ascii="Arial" w:cs="Arial" w:eastAsia="Arial" w:hAnsi="Arial"/>
          <w:b/>
          <w:bCs/>
          <w:sz w:val="28"/>
          <w:szCs w:val="28"/>
        </w:rPr>
        <w:t xml:space="preserve">2.5  The Mechanics of Self-Disruption</w:t>
      </w:r>
    </w:p>
    <w:p>
      <w:pPr>
        <w:spacing w:after="100" w:before="180"/>
      </w:pPr>
      <w:r>
        <w:rPr>
          <w:rFonts w:ascii="Arial" w:cs="Arial" w:eastAsia="Arial" w:hAnsi="Arial"/>
          <w:b/>
          <w:bCs/>
          <w:i/>
          <w:iCs/>
          <w:sz w:val="24"/>
          <w:szCs w:val="24"/>
        </w:rPr>
        <w:t xml:space="preserve">What the Research Shows, Why It Matters, and Where It Breaks Down</w:t>
      </w:r>
    </w:p>
    <w:p>
      <w:pPr>
        <w:spacing w:after="160" w:line="276"/>
      </w:pPr>
      <w:r>
        <w:rPr>
          <w:rFonts w:ascii="Arial" w:cs="Arial" w:eastAsia="Arial" w:hAnsi="Arial"/>
          <w:sz w:val="24"/>
          <w:szCs w:val="24"/>
        </w:rPr>
        <w:t xml:space="preserve">What separates the rare Adobe from the routine Intel? The documented pattern combines Week 9's ambidexterity with three commitments visible in the case record. </w:t>
      </w:r>
      <w:r>
        <w:rPr>
          <w:rFonts w:ascii="Arial" w:cs="Arial" w:eastAsia="Arial" w:hAnsi="Arial"/>
          <w:b/>
          <w:bCs/>
          <w:sz w:val="24"/>
          <w:szCs w:val="24"/>
        </w:rPr>
        <w:t xml:space="preserve">Commitment against retreat</w:t>
      </w:r>
      <w:r>
        <w:rPr>
          <w:rFonts w:ascii="Arial" w:cs="Arial" w:eastAsia="Arial" w:hAnsi="Arial"/>
          <w:sz w:val="24"/>
          <w:szCs w:val="24"/>
        </w:rPr>
        <w:t xml:space="preserve">: Narayen's refusal of a hybrid model removed the escape hatch through which self-disruptions usually leak back to the comfortable core — the old product must actually end.</w:t>
      </w:r>
      <w:r>
        <w:rPr>
          <w:rFonts w:ascii="Arial" w:cs="Arial" w:eastAsia="Arial" w:hAnsi="Arial"/>
          <w:sz w:val="24"/>
          <w:szCs w:val="24"/>
          <w:vertAlign w:val="superscript"/>
        </w:rPr>
        <w:t xml:space="preserve">1</w:t>
      </w:r>
      <w:r>
        <w:rPr>
          <w:rFonts w:ascii="Arial" w:cs="Arial" w:eastAsia="Arial" w:hAnsi="Arial"/>
          <w:sz w:val="24"/>
          <w:szCs w:val="24"/>
          <w:vertAlign w:val="superscript"/>
        </w:rPr>
        <w:t xml:space="preserve">17</w:t>
      </w:r>
      <w:r>
        <w:rPr>
          <w:rFonts w:ascii="Arial" w:cs="Arial" w:eastAsia="Arial" w:hAnsi="Arial"/>
          <w:sz w:val="24"/>
          <w:szCs w:val="24"/>
        </w:rPr>
        <w:t xml:space="preserve"> </w:t>
      </w:r>
      <w:r>
        <w:rPr>
          <w:rFonts w:ascii="Arial" w:cs="Arial" w:eastAsia="Arial" w:hAnsi="Arial"/>
          <w:b/>
          <w:bCs/>
          <w:sz w:val="24"/>
          <w:szCs w:val="24"/>
        </w:rPr>
        <w:t xml:space="preserve">New metrics for the new model</w:t>
      </w:r>
      <w:r>
        <w:rPr>
          <w:rFonts w:ascii="Arial" w:cs="Arial" w:eastAsia="Arial" w:hAnsi="Arial"/>
          <w:sz w:val="24"/>
          <w:szCs w:val="24"/>
        </w:rPr>
        <w:t xml:space="preserve">: Garrett's "don't look at the P&amp;L… look at ARR" is refreezing at the measurement layer — the transition was made legible and gradeable, converting a frightening revenue dip into countable weekly progress and buying investor patience with transparency rather than promises.</w:t>
      </w:r>
      <w:r>
        <w:rPr>
          <w:rFonts w:ascii="Arial" w:cs="Arial" w:eastAsia="Arial" w:hAnsi="Arial"/>
          <w:sz w:val="24"/>
          <w:szCs w:val="24"/>
          <w:vertAlign w:val="superscript"/>
        </w:rPr>
        <w:t xml:space="preserve">4</w:t>
      </w:r>
      <w:r>
        <w:rPr>
          <w:rFonts w:ascii="Arial" w:cs="Arial" w:eastAsia="Arial" w:hAnsi="Arial"/>
          <w:sz w:val="24"/>
          <w:szCs w:val="24"/>
        </w:rPr>
        <w:t xml:space="preserve"> </w:t>
      </w:r>
      <w:r>
        <w:rPr>
          <w:rFonts w:ascii="Arial" w:cs="Arial" w:eastAsia="Arial" w:hAnsi="Arial"/>
          <w:b/>
          <w:bCs/>
          <w:sz w:val="24"/>
          <w:szCs w:val="24"/>
        </w:rPr>
        <w:t xml:space="preserve">Pre-paid pain</w:t>
      </w:r>
      <w:r>
        <w:rPr>
          <w:rFonts w:ascii="Arial" w:cs="Arial" w:eastAsia="Arial" w:hAnsi="Arial"/>
          <w:sz w:val="24"/>
          <w:szCs w:val="24"/>
        </w:rPr>
        <w:t xml:space="preserve">: Adobe forecast its own revenue gap publicly before critics could discover it, the organizational equivalent of Week 7's pre-commitment — the loss was framed as an investment while the company was still in the gain frame.</w:t>
      </w:r>
      <w:r>
        <w:rPr>
          <w:rFonts w:ascii="Arial" w:cs="Arial" w:eastAsia="Arial" w:hAnsi="Arial"/>
          <w:sz w:val="24"/>
          <w:szCs w:val="24"/>
          <w:vertAlign w:val="superscript"/>
        </w:rPr>
        <w:t xml:space="preserve">2</w:t>
      </w:r>
      <w:r>
        <w:rPr>
          <w:rFonts w:ascii="Arial" w:cs="Arial" w:eastAsia="Arial" w:hAnsi="Arial"/>
          <w:sz w:val="24"/>
          <w:szCs w:val="24"/>
          <w:vertAlign w:val="superscript"/>
        </w:rPr>
        <w:t xml:space="preserve">4</w:t>
      </w:r>
      <w:r>
        <w:rPr>
          <w:rFonts w:ascii="Arial" w:cs="Arial" w:eastAsia="Arial" w:hAnsi="Arial"/>
          <w:sz w:val="24"/>
          <w:szCs w:val="24"/>
        </w:rPr>
        <w:t xml:space="preserve"> The limits: self-disruption remains brutally rare because it requires leaders to spend certain political capital on uncertain futures (Week 4), boards that tolerate a valley (Adobe's did</w:t>
      </w:r>
      <w:r>
        <w:rPr>
          <w:rFonts w:ascii="Arial" w:cs="Arial" w:eastAsia="Arial" w:hAnsi="Arial"/>
          <w:sz w:val="24"/>
          <w:szCs w:val="24"/>
          <w:vertAlign w:val="superscript"/>
        </w:rPr>
        <w:t xml:space="preserve">2</w:t>
      </w:r>
      <w:r>
        <w:rPr>
          <w:rFonts w:ascii="Arial" w:cs="Arial" w:eastAsia="Arial" w:hAnsi="Arial"/>
          <w:sz w:val="24"/>
          <w:szCs w:val="24"/>
        </w:rPr>
        <w:t xml:space="preserve">), and a genuine destination — cannibalizing yourself into a worse business model is just faster decline. And survivorship again: Adobe is famous partly because the bet worked; the discipline it teaches is the process, not the certainty.</w:t>
      </w:r>
    </w:p>
    <w:p>
      <w:pPr>
        <w:spacing w:after="120" w:before="240"/>
      </w:pPr>
      <w:r>
        <w:rPr>
          <w:rFonts w:ascii="Arial" w:cs="Arial" w:eastAsia="Arial" w:hAnsi="Arial"/>
          <w:b/>
          <w:bCs/>
          <w:sz w:val="28"/>
          <w:szCs w:val="28"/>
        </w:rPr>
        <w:t xml:space="preserve">2.6  Technical Debt: The Ledger of Deferred Change</w:t>
      </w:r>
    </w:p>
    <w:p>
      <w:pPr>
        <w:spacing w:after="100" w:before="180"/>
      </w:pPr>
      <w:r>
        <w:rPr>
          <w:rFonts w:ascii="Arial" w:cs="Arial" w:eastAsia="Arial" w:hAnsi="Arial"/>
          <w:b/>
          <w:bCs/>
          <w:i/>
          <w:iCs/>
          <w:sz w:val="24"/>
          <w:szCs w:val="24"/>
        </w:rPr>
        <w:t xml:space="preserve">Definition, Evidence, and Limits</w:t>
      </w:r>
    </w:p>
    <w:p>
      <w:pPr>
        <w:spacing w:after="160" w:line="276"/>
      </w:pPr>
      <w:r>
        <w:rPr>
          <w:rFonts w:ascii="Arial" w:cs="Arial" w:eastAsia="Arial" w:hAnsi="Arial"/>
          <w:b/>
          <w:bCs/>
          <w:sz w:val="24"/>
          <w:szCs w:val="24"/>
        </w:rPr>
        <w:t xml:space="preserve">Technical debt</w:t>
      </w:r>
      <w:r>
        <w:rPr>
          <w:rFonts w:ascii="Arial" w:cs="Arial" w:eastAsia="Arial" w:hAnsi="Arial"/>
          <w:sz w:val="24"/>
          <w:szCs w:val="24"/>
        </w:rPr>
        <w:t xml:space="preserve"> — the engineering term for the accumulating cost of expedient choices — is this chapter's most transferable idea: every deferred modernization, every patched-instead-of-replaced system, every "next year" is a </w:t>
      </w:r>
      <w:r>
        <w:rPr>
          <w:rFonts w:ascii="Arial" w:cs="Arial" w:eastAsia="Arial" w:hAnsi="Arial"/>
          <w:b/>
          <w:bCs/>
          <w:sz w:val="24"/>
          <w:szCs w:val="24"/>
        </w:rPr>
        <w:t xml:space="preserve">loan against a future disruption</w:t>
      </w:r>
      <w:r>
        <w:rPr>
          <w:rFonts w:ascii="Arial" w:cs="Arial" w:eastAsia="Arial" w:hAnsi="Arial"/>
          <w:sz w:val="24"/>
          <w:szCs w:val="24"/>
        </w:rPr>
        <w:t xml:space="preserve">, accruing interest invisibly until an environmental shock calls it. Southwest is the canonical statement: SkySolver's inadequacy was known and repeatedly deferred — each deferral individually rational (Section 2.1) — until Elliott presented the balance due: $1.1 billion in direct costs, a $140 million penalty, and a decade of reputation spent in ten days.</w:t>
      </w:r>
      <w:r>
        <w:rPr>
          <w:rFonts w:ascii="Arial" w:cs="Arial" w:eastAsia="Arial" w:hAnsi="Arial"/>
          <w:sz w:val="24"/>
          <w:szCs w:val="24"/>
          <w:vertAlign w:val="superscript"/>
        </w:rPr>
        <w:t xml:space="preserve">6</w:t>
      </w:r>
      <w:r>
        <w:rPr>
          <w:rFonts w:ascii="Arial" w:cs="Arial" w:eastAsia="Arial" w:hAnsi="Arial"/>
          <w:sz w:val="24"/>
          <w:szCs w:val="24"/>
          <w:vertAlign w:val="superscript"/>
        </w:rPr>
        <w:t xml:space="preserve">8</w:t>
      </w:r>
      <w:r>
        <w:rPr>
          <w:rFonts w:ascii="Arial" w:cs="Arial" w:eastAsia="Arial" w:hAnsi="Arial"/>
          <w:sz w:val="24"/>
          <w:szCs w:val="24"/>
          <w:vertAlign w:val="superscript"/>
        </w:rPr>
        <w:t xml:space="preserve">9</w:t>
      </w:r>
      <w:r>
        <w:rPr>
          <w:rFonts w:ascii="Arial" w:cs="Arial" w:eastAsia="Arial" w:hAnsi="Arial"/>
          <w:sz w:val="24"/>
          <w:szCs w:val="24"/>
        </w:rPr>
        <w:t xml:space="preserve"> The concept generalizes beyond software: organizations carry </w:t>
      </w:r>
      <w:r>
        <w:rPr>
          <w:rFonts w:ascii="Arial" w:cs="Arial" w:eastAsia="Arial" w:hAnsi="Arial"/>
          <w:b/>
          <w:bCs/>
          <w:sz w:val="24"/>
          <w:szCs w:val="24"/>
        </w:rPr>
        <w:t xml:space="preserve">capability debt</w:t>
      </w:r>
      <w:r>
        <w:rPr>
          <w:rFonts w:ascii="Arial" w:cs="Arial" w:eastAsia="Arial" w:hAnsi="Arial"/>
          <w:sz w:val="24"/>
          <w:szCs w:val="24"/>
        </w:rPr>
        <w:t xml:space="preserve"> (skills not renewed), </w:t>
      </w:r>
      <w:r>
        <w:rPr>
          <w:rFonts w:ascii="Arial" w:cs="Arial" w:eastAsia="Arial" w:hAnsi="Arial"/>
          <w:b/>
          <w:bCs/>
          <w:sz w:val="24"/>
          <w:szCs w:val="24"/>
        </w:rPr>
        <w:t xml:space="preserve">cultural debt</w:t>
      </w:r>
      <w:r>
        <w:rPr>
          <w:rFonts w:ascii="Arial" w:cs="Arial" w:eastAsia="Arial" w:hAnsi="Arial"/>
          <w:sz w:val="24"/>
          <w:szCs w:val="24"/>
        </w:rPr>
        <w:t xml:space="preserve"> (Week 8 gaps unaddressed), and </w:t>
      </w:r>
      <w:r>
        <w:rPr>
          <w:rFonts w:ascii="Arial" w:cs="Arial" w:eastAsia="Arial" w:hAnsi="Arial"/>
          <w:b/>
          <w:bCs/>
          <w:sz w:val="24"/>
          <w:szCs w:val="24"/>
        </w:rPr>
        <w:t xml:space="preserve">trust debt</w:t>
      </w:r>
      <w:r>
        <w:rPr>
          <w:rFonts w:ascii="Arial" w:cs="Arial" w:eastAsia="Arial" w:hAnsi="Arial"/>
          <w:sz w:val="24"/>
          <w:szCs w:val="24"/>
        </w:rPr>
        <w:t xml:space="preserve"> (Week 3 injustices unrepaired), all with the same structure — cheap to carry, catastrophic to call. Two managerial disciplines follow. First, </w:t>
      </w:r>
      <w:r>
        <w:rPr>
          <w:rFonts w:ascii="Arial" w:cs="Arial" w:eastAsia="Arial" w:hAnsi="Arial"/>
          <w:b/>
          <w:bCs/>
          <w:sz w:val="24"/>
          <w:szCs w:val="24"/>
        </w:rPr>
        <w:t xml:space="preserve">make the debt visible</w:t>
      </w:r>
      <w:r>
        <w:rPr>
          <w:rFonts w:ascii="Arial" w:cs="Arial" w:eastAsia="Arial" w:hAnsi="Arial"/>
          <w:sz w:val="24"/>
          <w:szCs w:val="24"/>
        </w:rPr>
        <w:t xml:space="preserve">: inventory what the organization is deferring and attach honest interest estimates, because unpriced debt always loses the budget fight to visible growth. Second, note the regulatory postscript: Southwest's fine was structured to finance future passenger compensation and was partially waived when the company demonstrably rebuilt — modern regulators increasingly price deferred change and rebate demonstrated change, meaning the market for procrastination is tightening.</w:t>
      </w:r>
      <w:r>
        <w:rPr>
          <w:rFonts w:ascii="Arial" w:cs="Arial" w:eastAsia="Arial" w:hAnsi="Arial"/>
          <w:sz w:val="24"/>
          <w:szCs w:val="24"/>
          <w:vertAlign w:val="superscript"/>
        </w:rPr>
        <w:t xml:space="preserve">6</w:t>
      </w:r>
      <w:r>
        <w:rPr>
          <w:rFonts w:ascii="Arial" w:cs="Arial" w:eastAsia="Arial" w:hAnsi="Arial"/>
          <w:sz w:val="24"/>
          <w:szCs w:val="24"/>
          <w:vertAlign w:val="superscript"/>
        </w:rPr>
        <w:t xml:space="preserve">9</w:t>
      </w:r>
      <w:r>
        <w:rPr>
          <w:rFonts w:ascii="Arial" w:cs="Arial" w:eastAsia="Arial" w:hAnsi="Arial"/>
          <w:sz w:val="24"/>
          <w:szCs w:val="24"/>
          <w:vertAlign w:val="superscript"/>
        </w:rPr>
        <w:t xml:space="preserve">10</w:t>
      </w:r>
      <w:r>
        <w:rPr>
          <w:rFonts w:ascii="Arial" w:cs="Arial" w:eastAsia="Arial" w:hAnsi="Arial"/>
          <w:sz w:val="24"/>
          <w:szCs w:val="24"/>
        </w:rPr>
        <w:t xml:space="preserve"> Limit: not all deferral is debt — some options are correctly kept cheap until uncertainty resolves (Week 7); the test is whether the deferral is a </w:t>
      </w:r>
      <w:r>
        <w:rPr>
          <w:rFonts w:ascii="Arial" w:cs="Arial" w:eastAsia="Arial" w:hAnsi="Arial"/>
          <w:b/>
          <w:bCs/>
          <w:sz w:val="24"/>
          <w:szCs w:val="24"/>
        </w:rPr>
        <w:t xml:space="preserve">decision</w:t>
      </w:r>
      <w:r>
        <w:rPr>
          <w:rFonts w:ascii="Arial" w:cs="Arial" w:eastAsia="Arial" w:hAnsi="Arial"/>
          <w:sz w:val="24"/>
          <w:szCs w:val="24"/>
        </w:rPr>
        <w:t xml:space="preserve"> with a review date or merely a drift.</w:t>
      </w:r>
    </w:p>
    <w:p>
      <w:r>
        <w:br w:type="page"/>
      </w:r>
    </w:p>
    <w:p>
      <w:pPr>
        <w:shd w:fill="D9D9D9" w:val="clear"/>
        <w:spacing w:after="240" w:before="240"/>
      </w:pPr>
      <w:r>
        <w:rPr>
          <w:rFonts w:ascii="Arial" w:cs="Arial" w:eastAsia="Arial" w:hAnsi="Arial"/>
          <w:b/>
          <w:bCs/>
          <w:sz w:val="32"/>
          <w:szCs w:val="32"/>
        </w:rPr>
        <w:t xml:space="preserve">Part 3: Comparative Case Study — Adobe and Southwest</w:t>
      </w:r>
    </w:p>
    <w:p>
      <w:pPr>
        <w:spacing w:after="100" w:before="180"/>
      </w:pPr>
      <w:r>
        <w:rPr>
          <w:rFonts w:ascii="Arial" w:cs="Arial" w:eastAsia="Arial" w:hAnsi="Arial"/>
          <w:b/>
          <w:bCs/>
          <w:i/>
          <w:iCs/>
          <w:sz w:val="24"/>
          <w:szCs w:val="24"/>
        </w:rPr>
        <w:t xml:space="preserve">Setup</w:t>
      </w:r>
    </w:p>
    <w:p>
      <w:pPr>
        <w:spacing w:after="160" w:line="276"/>
      </w:pPr>
      <w:r>
        <w:rPr>
          <w:rFonts w:ascii="Arial" w:cs="Arial" w:eastAsia="Arial" w:hAnsi="Arial"/>
          <w:sz w:val="24"/>
          <w:szCs w:val="24"/>
        </w:rPr>
        <w:t xml:space="preserve">The pairing isolates timing. Both organizations faced known, mounting misfit between their operating model and their environment; both possessed the resources and talent to change; both ultimately executed well. They differ in when the change happened and who chose the moment — the organization or the environment. Every concept in Part 2 predicts the difference in cost.</w:t>
      </w:r>
    </w:p>
    <w:p>
      <w:pPr>
        <w:spacing w:after="100" w:before="180"/>
      </w:pPr>
      <w:r>
        <w:rPr>
          <w:rFonts w:ascii="Arial" w:cs="Arial" w:eastAsia="Arial" w:hAnsi="Arial"/>
          <w:b/>
          <w:bCs/>
          <w:i/>
          <w:iCs/>
          <w:sz w:val="24"/>
          <w:szCs w:val="24"/>
        </w:rPr>
        <w:t xml:space="preserve">Case A: Adobe — Change While Winning</w:t>
      </w:r>
    </w:p>
    <w:p>
      <w:pPr>
        <w:spacing w:after="160" w:line="276"/>
      </w:pPr>
      <w:r>
        <w:rPr>
          <w:rFonts w:ascii="Arial" w:cs="Arial" w:eastAsia="Arial" w:hAnsi="Arial"/>
          <w:sz w:val="24"/>
          <w:szCs w:val="24"/>
        </w:rPr>
        <w:t xml:space="preserve">The facts, assembled: by 2011 Adobe's model showed the classic pre-punctuation profile — lumpy version-driven revenue, upgrade fatigue, piracy above 60 percent for flagship products, and cheap "good enough" competitors gathering at the low end.</w:t>
      </w:r>
      <w:r>
        <w:rPr>
          <w:rFonts w:ascii="Arial" w:cs="Arial" w:eastAsia="Arial" w:hAnsi="Arial"/>
          <w:sz w:val="24"/>
          <w:szCs w:val="24"/>
          <w:vertAlign w:val="superscript"/>
        </w:rPr>
        <w:t xml:space="preserve">1</w:t>
      </w:r>
      <w:r>
        <w:rPr>
          <w:rFonts w:ascii="Arial" w:cs="Arial" w:eastAsia="Arial" w:hAnsi="Arial"/>
          <w:sz w:val="24"/>
          <w:szCs w:val="24"/>
          <w:vertAlign w:val="superscript"/>
        </w:rPr>
        <w:t xml:space="preserve">2</w:t>
      </w:r>
      <w:r>
        <w:rPr>
          <w:rFonts w:ascii="Arial" w:cs="Arial" w:eastAsia="Arial" w:hAnsi="Arial"/>
          <w:sz w:val="24"/>
          <w:szCs w:val="24"/>
        </w:rPr>
        <w:t xml:space="preserve"> The response ran the full self-disruption mechanics: phased entry (subscriptions offered from 2011 alongside licenses), then the 2013 commitment — CS6 the last perpetual release, no hybrid, bandage off — then the managed valley: a predicted revenue gap near $200 million, a 12 percent stock decline, vocal customer protest, and a CFO redirecting investors to ARR and subscriber counts reported with unusual transparency.</w:t>
      </w:r>
      <w:r>
        <w:rPr>
          <w:rFonts w:ascii="Arial" w:cs="Arial" w:eastAsia="Arial" w:hAnsi="Arial"/>
          <w:sz w:val="24"/>
          <w:szCs w:val="24"/>
          <w:vertAlign w:val="superscript"/>
        </w:rPr>
        <w:t xml:space="preserve">1</w:t>
      </w:r>
      <w:r>
        <w:rPr>
          <w:rFonts w:ascii="Arial" w:cs="Arial" w:eastAsia="Arial" w:hAnsi="Arial"/>
          <w:sz w:val="24"/>
          <w:szCs w:val="24"/>
          <w:vertAlign w:val="superscript"/>
        </w:rPr>
        <w:t xml:space="preserve">2</w:t>
      </w:r>
      <w:r>
        <w:rPr>
          <w:rFonts w:ascii="Arial" w:cs="Arial" w:eastAsia="Arial" w:hAnsi="Arial"/>
          <w:sz w:val="24"/>
          <w:szCs w:val="24"/>
          <w:vertAlign w:val="superscript"/>
        </w:rPr>
        <w:t xml:space="preserve">4</w:t>
      </w:r>
      <w:r>
        <w:rPr>
          <w:rFonts w:ascii="Arial" w:cs="Arial" w:eastAsia="Arial" w:hAnsi="Arial"/>
          <w:sz w:val="24"/>
          <w:szCs w:val="24"/>
        </w:rPr>
        <w:t xml:space="preserve"> The compounding: 1 million subscribers in 2013, 3 million by mid-2014, 30 million-plus by 2024; subscription revenue $1.23 billion (2013) to $18.28 billion (2023); total revenue $4.06 billion to $19.41 billion; over 90 percent of revenue recurring; the stock from roughly $45 at launch past $280 by 2019; and an industry — Microsoft, Autodesk, and beyond — converted to Adobe's template.</w:t>
      </w:r>
      <w:r>
        <w:rPr>
          <w:rFonts w:ascii="Arial" w:cs="Arial" w:eastAsia="Arial" w:hAnsi="Arial"/>
          <w:sz w:val="24"/>
          <w:szCs w:val="24"/>
          <w:vertAlign w:val="superscript"/>
        </w:rPr>
        <w:t xml:space="preserve">1</w:t>
      </w:r>
      <w:r>
        <w:rPr>
          <w:rFonts w:ascii="Arial" w:cs="Arial" w:eastAsia="Arial" w:hAnsi="Arial"/>
          <w:sz w:val="24"/>
          <w:szCs w:val="24"/>
          <w:vertAlign w:val="superscript"/>
        </w:rPr>
        <w:t xml:space="preserve">3</w:t>
      </w:r>
      <w:r>
        <w:rPr>
          <w:rFonts w:ascii="Arial" w:cs="Arial" w:eastAsia="Arial" w:hAnsi="Arial"/>
          <w:sz w:val="24"/>
          <w:szCs w:val="24"/>
          <w:vertAlign w:val="superscript"/>
        </w:rPr>
        <w:t xml:space="preserve">5</w:t>
      </w:r>
      <w:r>
        <w:rPr>
          <w:rFonts w:ascii="Arial" w:cs="Arial" w:eastAsia="Arial" w:hAnsi="Arial"/>
          <w:sz w:val="24"/>
          <w:szCs w:val="24"/>
        </w:rPr>
        <w:t xml:space="preserve"> As a theory test: urgency manufactured without crisis (Kotter's hardest step, done from strength), resistance treated as design feedback, cannibalization accepted rather than leaked, and refreezing achieved through metrics and industry adoption. Honest caveats: the model's decade-long success has its own critics (subscription lock-in and cumulative cost complaints never ended — a stakeholder cost the triumph narrative skips); Adobe held near-monopoly positions that made forced migration survivable in ways most firms could not copy; and the case is remembered as inevitable only because it worked — in 2013 it was a genuine bet, which is exactly the point.</w:t>
      </w:r>
      <w:r>
        <w:rPr>
          <w:rFonts w:ascii="Arial" w:cs="Arial" w:eastAsia="Arial" w:hAnsi="Arial"/>
          <w:sz w:val="24"/>
          <w:szCs w:val="24"/>
          <w:vertAlign w:val="superscript"/>
        </w:rPr>
        <w:t xml:space="preserve">1</w:t>
      </w:r>
      <w:r>
        <w:rPr>
          <w:rFonts w:ascii="Arial" w:cs="Arial" w:eastAsia="Arial" w:hAnsi="Arial"/>
          <w:sz w:val="24"/>
          <w:szCs w:val="24"/>
          <w:vertAlign w:val="superscript"/>
        </w:rPr>
        <w:t xml:space="preserve">2</w:t>
      </w:r>
    </w:p>
    <w:p>
      <w:pPr>
        <w:spacing w:after="100" w:before="180"/>
      </w:pPr>
      <w:r>
        <w:rPr>
          <w:rFonts w:ascii="Arial" w:cs="Arial" w:eastAsia="Arial" w:hAnsi="Arial"/>
          <w:b/>
          <w:bCs/>
          <w:i/>
          <w:iCs/>
          <w:sz w:val="24"/>
          <w:szCs w:val="24"/>
        </w:rPr>
        <w:t xml:space="preserve">Case B: Southwest — Change Because You Must</w:t>
      </w:r>
    </w:p>
    <w:p>
      <w:pPr>
        <w:spacing w:after="160" w:line="276"/>
      </w:pPr>
      <w:r>
        <w:rPr>
          <w:rFonts w:ascii="Arial" w:cs="Arial" w:eastAsia="Arial" w:hAnsi="Arial"/>
          <w:sz w:val="24"/>
          <w:szCs w:val="24"/>
        </w:rPr>
        <w:t xml:space="preserve">The facts, assembled: Southwest's crew-scheduling core, SkySolver, was decades old and known to be strained; modernization was repeatedly deferred while the network — a point-to-point design unusually dependent on precise crew choreography — kept growing.</w:t>
      </w:r>
      <w:r>
        <w:rPr>
          <w:rFonts w:ascii="Arial" w:cs="Arial" w:eastAsia="Arial" w:hAnsi="Arial"/>
          <w:sz w:val="24"/>
          <w:szCs w:val="24"/>
          <w:vertAlign w:val="superscript"/>
        </w:rPr>
        <w:t xml:space="preserve">8</w:t>
      </w:r>
      <w:r>
        <w:rPr>
          <w:rFonts w:ascii="Arial" w:cs="Arial" w:eastAsia="Arial" w:hAnsi="Arial"/>
          <w:sz w:val="24"/>
          <w:szCs w:val="24"/>
        </w:rPr>
        <w:t xml:space="preserve"> December 21–30, 2022: Elliott disrupts every carrier; others recover; Southwest's software cannot process the reassignment cascade and is effectively abandoned for manual scheduling; roughly 16,900 cancellations — nearly half the schedule — strand more than two million holiday travelers.</w:t>
      </w:r>
      <w:r>
        <w:rPr>
          <w:rFonts w:ascii="Arial" w:cs="Arial" w:eastAsia="Arial" w:hAnsi="Arial"/>
          <w:sz w:val="24"/>
          <w:szCs w:val="24"/>
          <w:vertAlign w:val="superscript"/>
        </w:rPr>
        <w:t xml:space="preserve">7</w:t>
      </w:r>
      <w:r>
        <w:rPr>
          <w:rFonts w:ascii="Arial" w:cs="Arial" w:eastAsia="Arial" w:hAnsi="Arial"/>
          <w:sz w:val="24"/>
          <w:szCs w:val="24"/>
          <w:vertAlign w:val="superscript"/>
        </w:rPr>
        <w:t xml:space="preserve">8</w:t>
      </w:r>
      <w:r>
        <w:rPr>
          <w:rFonts w:ascii="Arial" w:cs="Arial" w:eastAsia="Arial" w:hAnsi="Arial"/>
          <w:sz w:val="24"/>
          <w:szCs w:val="24"/>
        </w:rPr>
        <w:t xml:space="preserve"> The bill: over $1.1 billion in direct costs; a December 2023 DOT settlement of $140 million — thirty times any prior airline consumer-protection penalty — structured with $35 million to the Treasury and $90 million funding a future-passenger compensation system.</w:t>
      </w:r>
      <w:r>
        <w:rPr>
          <w:rFonts w:ascii="Arial" w:cs="Arial" w:eastAsia="Arial" w:hAnsi="Arial"/>
          <w:sz w:val="24"/>
          <w:szCs w:val="24"/>
          <w:vertAlign w:val="superscript"/>
        </w:rPr>
        <w:t xml:space="preserve">6</w:t>
      </w:r>
      <w:r>
        <w:rPr>
          <w:rFonts w:ascii="Arial" w:cs="Arial" w:eastAsia="Arial" w:hAnsi="Arial"/>
          <w:sz w:val="24"/>
          <w:szCs w:val="24"/>
          <w:vertAlign w:val="superscript"/>
        </w:rPr>
        <w:t xml:space="preserve">7</w:t>
      </w:r>
      <w:r>
        <w:rPr>
          <w:rFonts w:ascii="Arial" w:cs="Arial" w:eastAsia="Arial" w:hAnsi="Arial"/>
          <w:sz w:val="24"/>
          <w:szCs w:val="24"/>
          <w:vertAlign w:val="superscript"/>
        </w:rPr>
        <w:t xml:space="preserve">9</w:t>
      </w:r>
      <w:r>
        <w:rPr>
          <w:rFonts w:ascii="Arial" w:cs="Arial" w:eastAsia="Arial" w:hAnsi="Arial"/>
          <w:sz w:val="24"/>
          <w:szCs w:val="24"/>
        </w:rPr>
        <w:t xml:space="preserve"> The forced transformation: more than $112 million specifically into resilient scheduling and real-time crew tracking within network investments exceeding $1 billion; by late 2025 Southwest ranked among the industry's most reliable carriers with the lowest cancellation rate entering the holidays, and the DOT waived the final $11 million installment, citing the demonstrated improvements as exactly the outcome penalties exist to produce.</w:t>
      </w:r>
      <w:r>
        <w:rPr>
          <w:rFonts w:ascii="Arial" w:cs="Arial" w:eastAsia="Arial" w:hAnsi="Arial"/>
          <w:sz w:val="24"/>
          <w:szCs w:val="24"/>
          <w:vertAlign w:val="superscript"/>
        </w:rPr>
        <w:t xml:space="preserve">9</w:t>
      </w:r>
      <w:r>
        <w:rPr>
          <w:rFonts w:ascii="Arial" w:cs="Arial" w:eastAsia="Arial" w:hAnsi="Arial"/>
          <w:sz w:val="24"/>
          <w:szCs w:val="24"/>
          <w:vertAlign w:val="superscript"/>
        </w:rPr>
        <w:t xml:space="preserve">10</w:t>
      </w:r>
      <w:r>
        <w:rPr>
          <w:rFonts w:ascii="Arial" w:cs="Arial" w:eastAsia="Arial" w:hAnsi="Arial"/>
          <w:sz w:val="24"/>
          <w:szCs w:val="24"/>
        </w:rPr>
        <w:t xml:space="preserve"> As a theory test: punctuated equilibrium executed by the environment (Section 2.1); unfreezing outsourced to a storm and a regulator; and — credit where due — moving and refreezing performed impressively once forced, proving the capability had been there all along. The honest ledger: identical modernization purchased voluntarily in, say, 2018 would have cost a fraction of $1.24 billion-plus and spared two million people a ruined holiday; the difference between Case A and Case B is not ability, vision, or even ultimate outcome — it is </w:t>
      </w:r>
      <w:r>
        <w:rPr>
          <w:rFonts w:ascii="Arial" w:cs="Arial" w:eastAsia="Arial" w:hAnsi="Arial"/>
          <w:b/>
          <w:bCs/>
          <w:sz w:val="24"/>
          <w:szCs w:val="24"/>
        </w:rPr>
        <w:t xml:space="preserve">who chose the timing</w:t>
      </w:r>
      <w:r>
        <w:rPr>
          <w:rFonts w:ascii="Arial" w:cs="Arial" w:eastAsia="Arial" w:hAnsi="Arial"/>
          <w:sz w:val="24"/>
          <w:szCs w:val="24"/>
        </w:rPr>
        <w:t xml:space="preserve">, and what the choice cost everyone downstream.</w:t>
      </w:r>
      <w:r>
        <w:rPr>
          <w:rFonts w:ascii="Arial" w:cs="Arial" w:eastAsia="Arial" w:hAnsi="Arial"/>
          <w:sz w:val="24"/>
          <w:szCs w:val="24"/>
          <w:vertAlign w:val="superscript"/>
        </w:rPr>
        <w:t xml:space="preserve">8</w:t>
      </w:r>
      <w:r>
        <w:rPr>
          <w:rFonts w:ascii="Arial" w:cs="Arial" w:eastAsia="Arial" w:hAnsi="Arial"/>
          <w:sz w:val="24"/>
          <w:szCs w:val="24"/>
          <w:vertAlign w:val="superscript"/>
        </w:rPr>
        <w:t xml:space="preserve">9</w:t>
      </w:r>
    </w:p>
    <w:p>
      <w:pPr>
        <w:spacing w:after="100" w:before="180"/>
      </w:pPr>
      <w:r>
        <w:rPr>
          <w:rFonts w:ascii="Arial" w:cs="Arial" w:eastAsia="Arial" w:hAnsi="Arial"/>
          <w:b/>
          <w:bCs/>
          <w:i/>
          <w:iCs/>
          <w:sz w:val="24"/>
          <w:szCs w:val="24"/>
        </w:rPr>
        <w:t xml:space="preserve">The Comparison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3510"/>
        <w:gridCol w:w="3510"/>
      </w:tblGrid>
      <w:tr>
        <w:tc>
          <w:tcPr>
            <w:tcW w:type="dxa" w:w="2340"/>
            <w:tcBorders>
              <w:top w:val="single" w:color="000000" w:sz="4"/>
              <w:left w:val="single" w:color="000000" w:sz="4"/>
              <w:bottom w:val="single" w:color="000000" w:sz="4"/>
              <w:right w:val="single" w:color="000000" w:sz="4"/>
            </w:tcBorders>
            <w:shd w:fill="D9D9D9" w:val="clear"/>
            <w:tcMar>
              <w:top w:type="dxa" w:w="80"/>
              <w:left w:type="dxa" w:w="100"/>
              <w:bottom w:type="dxa" w:w="80"/>
              <w:right w:type="dxa" w:w="100"/>
            </w:tcMar>
          </w:tcPr>
          <w:p>
            <w:pPr>
              <w:spacing w:after="0"/>
            </w:pPr>
          </w:p>
        </w:tc>
        <w:tc>
          <w:tcPr>
            <w:tcW w:type="dxa" w:w="3510"/>
            <w:tcBorders>
              <w:top w:val="single" w:color="000000" w:sz="4"/>
              <w:left w:val="single" w:color="000000" w:sz="4"/>
              <w:bottom w:val="single" w:color="000000" w:sz="4"/>
              <w:right w:val="single" w:color="000000" w:sz="4"/>
            </w:tcBorders>
            <w:shd w:fill="D9D9D9" w:val="clear"/>
            <w:tcMar>
              <w:top w:type="dxa" w:w="80"/>
              <w:left w:type="dxa" w:w="100"/>
              <w:bottom w:type="dxa" w:w="80"/>
              <w:right w:type="dxa" w:w="100"/>
            </w:tcMar>
          </w:tcPr>
          <w:p>
            <w:pPr>
              <w:spacing w:after="0"/>
            </w:pPr>
            <w:r>
              <w:rPr>
                <w:rFonts w:ascii="Arial" w:cs="Arial" w:eastAsia="Arial" w:hAnsi="Arial"/>
                <w:b/>
                <w:bCs/>
                <w:sz w:val="24"/>
                <w:szCs w:val="24"/>
              </w:rPr>
              <w:t xml:space="preserve">Adobe (2011–2023)</w:t>
            </w:r>
          </w:p>
        </w:tc>
        <w:tc>
          <w:tcPr>
            <w:tcW w:type="dxa" w:w="3510"/>
            <w:tcBorders>
              <w:top w:val="single" w:color="000000" w:sz="4"/>
              <w:left w:val="single" w:color="000000" w:sz="4"/>
              <w:bottom w:val="single" w:color="000000" w:sz="4"/>
              <w:right w:val="single" w:color="000000" w:sz="4"/>
            </w:tcBorders>
            <w:shd w:fill="D9D9D9" w:val="clear"/>
            <w:tcMar>
              <w:top w:type="dxa" w:w="80"/>
              <w:left w:type="dxa" w:w="100"/>
              <w:bottom w:type="dxa" w:w="80"/>
              <w:right w:type="dxa" w:w="100"/>
            </w:tcMar>
          </w:tcPr>
          <w:p>
            <w:pPr>
              <w:spacing w:after="0"/>
            </w:pPr>
            <w:r>
              <w:rPr>
                <w:rFonts w:ascii="Arial" w:cs="Arial" w:eastAsia="Arial" w:hAnsi="Arial"/>
                <w:b/>
                <w:bCs/>
                <w:sz w:val="24"/>
                <w:szCs w:val="24"/>
              </w:rPr>
              <w:t xml:space="preserve">Southwest (2022–2025)</w:t>
            </w:r>
          </w:p>
        </w:tc>
      </w:tr>
      <w:tr>
        <w:tc>
          <w:tcPr>
            <w:tcW w:type="dxa" w:w="234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bCs/>
                <w:sz w:val="24"/>
                <w:szCs w:val="24"/>
              </w:rPr>
              <w:t xml:space="preserve">Trigger</w:t>
            </w:r>
          </w:p>
        </w:tc>
        <w:tc>
          <w:tcPr>
            <w:tcW w:type="dxa" w:w="351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val="false"/>
                <w:bCs w:val="false"/>
                <w:sz w:val="24"/>
                <w:szCs w:val="24"/>
              </w:rPr>
              <w:t xml:space="preserve">Self-generated: leadership read the environment and jumped</w:t>
            </w:r>
          </w:p>
        </w:tc>
        <w:tc>
          <w:tcPr>
            <w:tcW w:type="dxa" w:w="351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val="false"/>
                <w:bCs w:val="false"/>
                <w:sz w:val="24"/>
                <w:szCs w:val="24"/>
              </w:rPr>
              <w:t xml:space="preserve">External: storm + system collapse + regulator</w:t>
            </w:r>
          </w:p>
        </w:tc>
      </w:tr>
      <w:tr>
        <w:tc>
          <w:tcPr>
            <w:tcW w:type="dxa" w:w="234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bCs/>
                <w:sz w:val="24"/>
                <w:szCs w:val="24"/>
              </w:rPr>
              <w:t xml:space="preserve">Unfreezing</w:t>
            </w:r>
          </w:p>
        </w:tc>
        <w:tc>
          <w:tcPr>
            <w:tcW w:type="dxa" w:w="351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val="false"/>
                <w:bCs w:val="false"/>
                <w:sz w:val="24"/>
                <w:szCs w:val="24"/>
              </w:rPr>
              <w:t xml:space="preserve">Manufactured urgency from strength; data-built case</w:t>
            </w:r>
          </w:p>
        </w:tc>
        <w:tc>
          <w:tcPr>
            <w:tcW w:type="dxa" w:w="351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val="false"/>
                <w:bCs w:val="false"/>
                <w:sz w:val="24"/>
                <w:szCs w:val="24"/>
              </w:rPr>
              <w:t xml:space="preserve">Performed by catastrophe; a decade of deferral called at once</w:t>
            </w:r>
          </w:p>
        </w:tc>
      </w:tr>
      <w:tr>
        <w:tc>
          <w:tcPr>
            <w:tcW w:type="dxa" w:w="234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bCs/>
                <w:sz w:val="24"/>
                <w:szCs w:val="24"/>
              </w:rPr>
              <w:t xml:space="preserve">Price of change</w:t>
            </w:r>
          </w:p>
        </w:tc>
        <w:tc>
          <w:tcPr>
            <w:tcW w:type="dxa" w:w="351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val="false"/>
                <w:bCs w:val="false"/>
                <w:sz w:val="24"/>
                <w:szCs w:val="24"/>
              </w:rPr>
              <w:t xml:space="preserve">Voluntary, forecast, framed: ~12% stock dip, ~$200M revenue gap</w:t>
            </w:r>
          </w:p>
        </w:tc>
        <w:tc>
          <w:tcPr>
            <w:tcW w:type="dxa" w:w="351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val="false"/>
                <w:bCs w:val="false"/>
                <w:sz w:val="24"/>
                <w:szCs w:val="24"/>
              </w:rPr>
              <w:t xml:space="preserve">Involuntary: &gt;$1.1B costs + $140M penalty + 2M stranded travelers</w:t>
            </w:r>
          </w:p>
        </w:tc>
      </w:tr>
      <w:tr>
        <w:tc>
          <w:tcPr>
            <w:tcW w:type="dxa" w:w="234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bCs/>
                <w:sz w:val="24"/>
                <w:szCs w:val="24"/>
              </w:rPr>
              <w:t xml:space="preserve">Resistance handling</w:t>
            </w:r>
          </w:p>
        </w:tc>
        <w:tc>
          <w:tcPr>
            <w:tcW w:type="dxa" w:w="351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val="false"/>
                <w:bCs w:val="false"/>
                <w:sz w:val="24"/>
                <w:szCs w:val="24"/>
              </w:rPr>
              <w:t xml:space="preserve">Objections absorbed as design input; transparent new metrics</w:t>
            </w:r>
          </w:p>
        </w:tc>
        <w:tc>
          <w:tcPr>
            <w:tcW w:type="dxa" w:w="351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val="false"/>
                <w:bCs w:val="false"/>
                <w:sz w:val="24"/>
                <w:szCs w:val="24"/>
              </w:rPr>
              <w:t xml:space="preserve">Post-crisis alignment near-total — crisis silences debate, at maximum cost</w:t>
            </w:r>
          </w:p>
        </w:tc>
      </w:tr>
      <w:tr>
        <w:tc>
          <w:tcPr>
            <w:tcW w:type="dxa" w:w="234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bCs/>
                <w:sz w:val="24"/>
                <w:szCs w:val="24"/>
              </w:rPr>
              <w:t xml:space="preserve">Outcome</w:t>
            </w:r>
          </w:p>
        </w:tc>
        <w:tc>
          <w:tcPr>
            <w:tcW w:type="dxa" w:w="351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val="false"/>
                <w:bCs w:val="false"/>
                <w:sz w:val="24"/>
                <w:szCs w:val="24"/>
              </w:rPr>
              <w:t xml:space="preserve">Revenue ~5x; 30M+ subscribers; industry template</w:t>
            </w:r>
          </w:p>
        </w:tc>
        <w:tc>
          <w:tcPr>
            <w:tcW w:type="dxa" w:w="351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val="false"/>
                <w:bCs w:val="false"/>
                <w:sz w:val="24"/>
                <w:szCs w:val="24"/>
              </w:rPr>
              <w:t xml:space="preserve">Genuine operational turnaround; lowest cancellation rate 2025; fine partially waived</w:t>
            </w:r>
          </w:p>
        </w:tc>
      </w:tr>
      <w:tr>
        <w:tc>
          <w:tcPr>
            <w:tcW w:type="dxa" w:w="234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bCs/>
                <w:sz w:val="24"/>
                <w:szCs w:val="24"/>
              </w:rPr>
              <w:t xml:space="preserve">Lesson</w:t>
            </w:r>
          </w:p>
        </w:tc>
        <w:tc>
          <w:tcPr>
            <w:tcW w:type="dxa" w:w="351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val="false"/>
                <w:bCs w:val="false"/>
                <w:sz w:val="24"/>
                <w:szCs w:val="24"/>
              </w:rPr>
              <w:t xml:space="preserve">Self-disruption is possible — with commitment, metrics, pre-paid pain</w:t>
            </w:r>
          </w:p>
        </w:tc>
        <w:tc>
          <w:tcPr>
            <w:tcW w:type="dxa" w:w="351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val="false"/>
                <w:bCs w:val="false"/>
                <w:sz w:val="24"/>
                <w:szCs w:val="24"/>
              </w:rPr>
              <w:t xml:space="preserve">Capability was never missing; timing was. Deferred change is a loan</w:t>
            </w:r>
          </w:p>
        </w:tc>
      </w:tr>
    </w:tbl>
    <w:p>
      <w:pPr>
        <w:spacing w:after="160"/>
      </w:pPr>
    </w:p>
    <w:p>
      <w:pPr>
        <w:spacing w:after="100" w:before="180"/>
      </w:pPr>
      <w:r>
        <w:rPr>
          <w:rFonts w:ascii="Arial" w:cs="Arial" w:eastAsia="Arial" w:hAnsi="Arial"/>
          <w:b/>
          <w:bCs/>
          <w:i/>
          <w:iCs/>
          <w:sz w:val="24"/>
          <w:szCs w:val="24"/>
        </w:rPr>
        <w:t xml:space="preserve">Analytical Interpretation</w:t>
      </w:r>
    </w:p>
    <w:p>
      <w:pPr>
        <w:spacing w:after="160" w:line="276"/>
      </w:pPr>
      <w:r>
        <w:rPr>
          <w:rFonts w:ascii="Arial" w:cs="Arial" w:eastAsia="Arial" w:hAnsi="Arial"/>
          <w:sz w:val="24"/>
          <w:szCs w:val="24"/>
        </w:rPr>
        <w:t xml:space="preserve">Three conclusions. First, the pair relocates the change problem from capability to </w:t>
      </w:r>
      <w:r>
        <w:rPr>
          <w:rFonts w:ascii="Arial" w:cs="Arial" w:eastAsia="Arial" w:hAnsi="Arial"/>
          <w:b/>
          <w:bCs/>
          <w:sz w:val="24"/>
          <w:szCs w:val="24"/>
        </w:rPr>
        <w:t xml:space="preserve">timing and framing</w:t>
      </w:r>
      <w:r>
        <w:rPr>
          <w:rFonts w:ascii="Arial" w:cs="Arial" w:eastAsia="Arial" w:hAnsi="Arial"/>
          <w:sz w:val="24"/>
          <w:szCs w:val="24"/>
        </w:rPr>
        <w:t xml:space="preserve">: both organizations executed well once committed; what Adobe manufactured — urgency, metrics, a pre-priced valley — Southwest had imposed on it, at roughly an order of magnitude higher cost, which is the empirical exchange rate between chosen and forced change.</w:t>
      </w:r>
      <w:r>
        <w:rPr>
          <w:rFonts w:ascii="Arial" w:cs="Arial" w:eastAsia="Arial" w:hAnsi="Arial"/>
          <w:sz w:val="24"/>
          <w:szCs w:val="24"/>
          <w:vertAlign w:val="superscript"/>
        </w:rPr>
        <w:t xml:space="preserve">2</w:t>
      </w:r>
      <w:r>
        <w:rPr>
          <w:rFonts w:ascii="Arial" w:cs="Arial" w:eastAsia="Arial" w:hAnsi="Arial"/>
          <w:sz w:val="24"/>
          <w:szCs w:val="24"/>
          <w:vertAlign w:val="superscript"/>
        </w:rPr>
        <w:t xml:space="preserve">9</w:t>
      </w:r>
      <w:r>
        <w:rPr>
          <w:rFonts w:ascii="Arial" w:cs="Arial" w:eastAsia="Arial" w:hAnsi="Arial"/>
          <w:sz w:val="24"/>
          <w:szCs w:val="24"/>
        </w:rPr>
        <w:t xml:space="preserve"> Second, the cases close the course's loop on decision quality (Week 7): Adobe's bet was a good decision that also happened to win — but grade the process (outside-view data on piracy and upgrade cycles, pre-commitment, transparent metrics), because in 2013 the outcome was genuinely uncertain; Southwest's deferrals were each locally rational and collectively ruinous, escalation's quiet cousin.</w:t>
      </w:r>
      <w:r>
        <w:rPr>
          <w:rFonts w:ascii="Arial" w:cs="Arial" w:eastAsia="Arial" w:hAnsi="Arial"/>
          <w:sz w:val="24"/>
          <w:szCs w:val="24"/>
          <w:vertAlign w:val="superscript"/>
        </w:rPr>
        <w:t xml:space="preserve">1</w:t>
      </w:r>
      <w:r>
        <w:rPr>
          <w:rFonts w:ascii="Arial" w:cs="Arial" w:eastAsia="Arial" w:hAnsi="Arial"/>
          <w:sz w:val="24"/>
          <w:szCs w:val="24"/>
          <w:vertAlign w:val="superscript"/>
        </w:rPr>
        <w:t xml:space="preserve">8</w:t>
      </w:r>
      <w:r>
        <w:rPr>
          <w:rFonts w:ascii="Arial" w:cs="Arial" w:eastAsia="Arial" w:hAnsi="Arial"/>
          <w:sz w:val="24"/>
          <w:szCs w:val="24"/>
        </w:rPr>
        <w:t xml:space="preserve"> Third, resist the tidy morality tale: Adobe's triumph carried real stakeholder costs and rested on market power most firms lack, while Southwest's post-crisis execution was excellent enough to earn a regulator's rebate — organizations are rarely heroes or cautionary tales for long, which is why the analytical habit this course has drilled — mechanisms over morals, process over outcomes, evidence over narrative — is the thing to carry out of the room.</w:t>
      </w:r>
      <w:r>
        <w:rPr>
          <w:rFonts w:ascii="Arial" w:cs="Arial" w:eastAsia="Arial" w:hAnsi="Arial"/>
          <w:sz w:val="24"/>
          <w:szCs w:val="24"/>
          <w:vertAlign w:val="superscript"/>
        </w:rPr>
        <w:t xml:space="preserve">9</w:t>
      </w:r>
      <w:r>
        <w:rPr>
          <w:rFonts w:ascii="Arial" w:cs="Arial" w:eastAsia="Arial" w:hAnsi="Arial"/>
          <w:sz w:val="24"/>
          <w:szCs w:val="24"/>
          <w:vertAlign w:val="superscript"/>
        </w:rPr>
        <w:t xml:space="preserve">10</w:t>
      </w:r>
    </w:p>
    <w:p>
      <w:r>
        <w:br w:type="page"/>
      </w:r>
    </w:p>
    <w:p>
      <w:pPr>
        <w:shd w:fill="D9D9D9" w:val="clear"/>
        <w:spacing w:after="240" w:before="240"/>
      </w:pPr>
      <w:r>
        <w:rPr>
          <w:rFonts w:ascii="Arial" w:cs="Arial" w:eastAsia="Arial" w:hAnsi="Arial"/>
          <w:b/>
          <w:bCs/>
          <w:sz w:val="32"/>
          <w:szCs w:val="32"/>
        </w:rPr>
        <w:t xml:space="preserve">Part 4: Synthesis — Changing on Time</w:t>
      </w:r>
    </w:p>
    <w:p>
      <w:pPr>
        <w:spacing w:after="160" w:line="276"/>
      </w:pPr>
      <w:r>
        <w:rPr>
          <w:rFonts w:ascii="Arial" w:cs="Arial" w:eastAsia="Arial" w:hAnsi="Arial"/>
          <w:sz w:val="24"/>
          <w:szCs w:val="24"/>
        </w:rPr>
        <w:t xml:space="preserve">Return to the closing question: why do organizations change too late, and what does changing on time require? Four conclusions, and then the course's.</w:t>
      </w:r>
    </w:p>
    <w:p>
      <w:pPr>
        <w:spacing w:after="160" w:line="276"/>
      </w:pPr>
      <w:r>
        <w:rPr>
          <w:rFonts w:ascii="Arial" w:cs="Arial" w:eastAsia="Arial" w:hAnsi="Arial"/>
          <w:b/>
          <w:bCs/>
          <w:sz w:val="24"/>
          <w:szCs w:val="24"/>
        </w:rPr>
        <w:t xml:space="preserve">Inertia is the bill for excellence, so budget for it.</w:t>
      </w:r>
      <w:r>
        <w:rPr>
          <w:rFonts w:ascii="Arial" w:cs="Arial" w:eastAsia="Arial" w:hAnsi="Arial"/>
          <w:sz w:val="24"/>
          <w:szCs w:val="24"/>
        </w:rPr>
        <w:t xml:space="preserve"> Everything that makes an organization reliable makes it resistant; expect punctuation, and know that every quarter of deferral is a loan whose interest compounds invisibly. Inventory your debts — technical, capability, cultural, trust — and give each a price and a review date.</w:t>
      </w:r>
      <w:r>
        <w:rPr>
          <w:rFonts w:ascii="Arial" w:cs="Arial" w:eastAsia="Arial" w:hAnsi="Arial"/>
          <w:sz w:val="24"/>
          <w:szCs w:val="24"/>
          <w:vertAlign w:val="superscript"/>
        </w:rPr>
        <w:t xml:space="preserve">8</w:t>
      </w:r>
      <w:r>
        <w:rPr>
          <w:rFonts w:ascii="Arial" w:cs="Arial" w:eastAsia="Arial" w:hAnsi="Arial"/>
          <w:sz w:val="24"/>
          <w:szCs w:val="24"/>
          <w:vertAlign w:val="superscript"/>
        </w:rPr>
        <w:t xml:space="preserve">11</w:t>
      </w:r>
      <w:r>
        <w:rPr>
          <w:rFonts w:ascii="Arial" w:cs="Arial" w:eastAsia="Arial" w:hAnsi="Arial"/>
          <w:sz w:val="24"/>
          <w:szCs w:val="24"/>
          <w:vertAlign w:val="superscript"/>
        </w:rPr>
        <w:t xml:space="preserve">12</w:t>
      </w:r>
    </w:p>
    <w:p>
      <w:pPr>
        <w:spacing w:after="160" w:line="276"/>
      </w:pPr>
      <w:r>
        <w:rPr>
          <w:rFonts w:ascii="Arial" w:cs="Arial" w:eastAsia="Arial" w:hAnsi="Arial"/>
          <w:b/>
          <w:bCs/>
          <w:sz w:val="24"/>
          <w:szCs w:val="24"/>
        </w:rPr>
        <w:t xml:space="preserve">Manufacture urgency from strength; don't rent it from a crisis.</w:t>
      </w:r>
      <w:r>
        <w:rPr>
          <w:rFonts w:ascii="Arial" w:cs="Arial" w:eastAsia="Arial" w:hAnsi="Arial"/>
          <w:sz w:val="24"/>
          <w:szCs w:val="24"/>
        </w:rPr>
        <w:t xml:space="preserve"> The playbooks' real lesson is sequencing: unfreeze with honest data before moving, generate countable wins, and anchor the change in metrics and consequences — or the environment will run the sequence for you, at its prices.</w:t>
      </w:r>
      <w:r>
        <w:rPr>
          <w:rFonts w:ascii="Arial" w:cs="Arial" w:eastAsia="Arial" w:hAnsi="Arial"/>
          <w:sz w:val="24"/>
          <w:szCs w:val="24"/>
          <w:vertAlign w:val="superscript"/>
        </w:rPr>
        <w:t xml:space="preserve">13</w:t>
      </w:r>
      <w:r>
        <w:rPr>
          <w:rFonts w:ascii="Arial" w:cs="Arial" w:eastAsia="Arial" w:hAnsi="Arial"/>
          <w:sz w:val="24"/>
          <w:szCs w:val="24"/>
          <w:vertAlign w:val="superscript"/>
        </w:rPr>
        <w:t xml:space="preserve">14</w:t>
      </w:r>
    </w:p>
    <w:p>
      <w:pPr>
        <w:spacing w:after="160" w:line="276"/>
      </w:pPr>
      <w:r>
        <w:rPr>
          <w:rFonts w:ascii="Arial" w:cs="Arial" w:eastAsia="Arial" w:hAnsi="Arial"/>
          <w:b/>
          <w:bCs/>
          <w:sz w:val="24"/>
          <w:szCs w:val="24"/>
        </w:rPr>
        <w:t xml:space="preserve">Treat resistance as data and loss as the real opponent.</w:t>
      </w:r>
      <w:r>
        <w:rPr>
          <w:rFonts w:ascii="Arial" w:cs="Arial" w:eastAsia="Arial" w:hAnsi="Arial"/>
          <w:sz w:val="24"/>
          <w:szCs w:val="24"/>
        </w:rPr>
        <w:t xml:space="preserve"> People resist loss and injustice, not change; give voice, name the losses honestly, and mine objections for the design flaws they usually contain. The change agent who hears only 'resistance' is usually narrating their own mistakes.</w:t>
      </w:r>
      <w:r>
        <w:rPr>
          <w:rFonts w:ascii="Arial" w:cs="Arial" w:eastAsia="Arial" w:hAnsi="Arial"/>
          <w:sz w:val="24"/>
          <w:szCs w:val="24"/>
          <w:vertAlign w:val="superscript"/>
        </w:rPr>
        <w:t xml:space="preserve">15</w:t>
      </w:r>
    </w:p>
    <w:p>
      <w:pPr>
        <w:spacing w:after="160" w:line="276"/>
      </w:pPr>
      <w:r>
        <w:rPr>
          <w:rFonts w:ascii="Arial" w:cs="Arial" w:eastAsia="Arial" w:hAnsi="Arial"/>
          <w:b/>
          <w:bCs/>
          <w:sz w:val="24"/>
          <w:szCs w:val="24"/>
        </w:rPr>
        <w:t xml:space="preserve">Ask the disruption question annually, and be willing to answer it yourself.</w:t>
      </w:r>
      <w:r>
        <w:rPr>
          <w:rFonts w:ascii="Arial" w:cs="Arial" w:eastAsia="Arial" w:hAnsi="Arial"/>
          <w:sz w:val="24"/>
          <w:szCs w:val="24"/>
        </w:rPr>
        <w:t xml:space="preserve"> What worse-but-cheaper thing are your best customers telling you to ignore? If the answer is 'nothing,' ask harder. And if the day comes to cannibalize your own success, the mechanics are known: commit past the point of retreat, build metrics that make the valley legible, and pre-pay the pain in public.</w:t>
      </w:r>
      <w:r>
        <w:rPr>
          <w:rFonts w:ascii="Arial" w:cs="Arial" w:eastAsia="Arial" w:hAnsi="Arial"/>
          <w:sz w:val="24"/>
          <w:szCs w:val="24"/>
          <w:vertAlign w:val="superscript"/>
        </w:rPr>
        <w:t xml:space="preserve">1</w:t>
      </w:r>
      <w:r>
        <w:rPr>
          <w:rFonts w:ascii="Arial" w:cs="Arial" w:eastAsia="Arial" w:hAnsi="Arial"/>
          <w:sz w:val="24"/>
          <w:szCs w:val="24"/>
          <w:vertAlign w:val="superscript"/>
        </w:rPr>
        <w:t xml:space="preserve">4</w:t>
      </w:r>
      <w:r>
        <w:rPr>
          <w:rFonts w:ascii="Arial" w:cs="Arial" w:eastAsia="Arial" w:hAnsi="Arial"/>
          <w:sz w:val="24"/>
          <w:szCs w:val="24"/>
          <w:vertAlign w:val="superscript"/>
        </w:rPr>
        <w:t xml:space="preserve">16</w:t>
      </w:r>
      <w:r>
        <w:rPr>
          <w:rFonts w:ascii="Arial" w:cs="Arial" w:eastAsia="Arial" w:hAnsi="Arial"/>
          <w:sz w:val="24"/>
          <w:szCs w:val="24"/>
          <w:vertAlign w:val="superscript"/>
        </w:rPr>
        <w:t xml:space="preserve">17</w:t>
      </w:r>
    </w:p>
    <w:p>
      <w:pPr>
        <w:spacing w:after="160" w:line="276"/>
      </w:pPr>
      <w:r>
        <w:rPr>
          <w:rFonts w:ascii="Arial" w:cs="Arial" w:eastAsia="Arial" w:hAnsi="Arial"/>
          <w:b/>
          <w:bCs/>
          <w:sz w:val="24"/>
          <w:szCs w:val="24"/>
        </w:rPr>
        <w:t xml:space="preserve">And the course's conclusion.</w:t>
      </w:r>
      <w:r>
        <w:rPr>
          <w:rFonts w:ascii="Arial" w:cs="Arial" w:eastAsia="Arial" w:hAnsi="Arial"/>
          <w:sz w:val="24"/>
          <w:szCs w:val="24"/>
        </w:rPr>
        <w:t xml:space="preserve"> Twelve weeks ago this book opened by asking when managers create value and when they are merely cost. The answer has assembled itself week by week: value is created by the manager who understands individuals before judging them, designs motivation instead of buying it, reads power honestly, builds teams where truth travels, leads through practice rather than performance, decides by process in a world that grades outcomes, teaches culture through consequences, fits structure to strategy, governs the machines that now help decide, keeps ethics visible when the frame tries to fade it — and changes before the environment forces the issue. None of it is charisma. All of it is learnable. That was the point.</w:t>
      </w:r>
    </w:p>
    <w:p>
      <w:r>
        <w:br w:type="page"/>
      </w:r>
    </w:p>
    <w:p>
      <w:pPr>
        <w:shd w:fill="D9D9D9" w:val="clear"/>
        <w:spacing w:after="240" w:before="240"/>
      </w:pPr>
      <w:r>
        <w:rPr>
          <w:rFonts w:ascii="Arial" w:cs="Arial" w:eastAsia="Arial" w:hAnsi="Arial"/>
          <w:b/>
          <w:bCs/>
          <w:sz w:val="32"/>
          <w:szCs w:val="32"/>
        </w:rPr>
        <w:t xml:space="preserve">Sources and Further Reading</w:t>
      </w:r>
    </w:p>
    <w:p>
      <w:pPr>
        <w:spacing w:after="120"/>
      </w:pPr>
      <w:r>
        <w:rPr>
          <w:rFonts w:ascii="Arial" w:cs="Arial" w:eastAsia="Arial" w:hAnsi="Arial"/>
          <w:b/>
          <w:bCs/>
          <w:sz w:val="24"/>
          <w:szCs w:val="24"/>
        </w:rPr>
        <w:t xml:space="preserve">1. </w:t>
      </w:r>
      <w:r>
        <w:rPr>
          <w:rFonts w:ascii="Arial" w:cs="Arial" w:eastAsia="Arial" w:hAnsi="Arial"/>
          <w:sz w:val="24"/>
          <w:szCs w:val="24"/>
        </w:rPr>
        <w:t xml:space="preserve">Stratrix. (2026, March 16). Adobe shifts to Creative Cloud (2013) [Strategic Forks case analysis]. https://www.stratrix.com/strategic-forks/adobe-creative-cloud</w:t>
      </w:r>
    </w:p>
    <w:p>
      <w:pPr>
        <w:spacing w:after="120"/>
      </w:pPr>
      <w:r>
        <w:rPr>
          <w:rFonts w:ascii="Arial" w:cs="Arial" w:eastAsia="Arial" w:hAnsi="Arial"/>
          <w:b/>
          <w:bCs/>
          <w:sz w:val="24"/>
          <w:szCs w:val="24"/>
        </w:rPr>
        <w:t xml:space="preserve">2. </w:t>
      </w:r>
      <w:r>
        <w:rPr>
          <w:rFonts w:ascii="Arial" w:cs="Arial" w:eastAsia="Arial" w:hAnsi="Arial"/>
          <w:sz w:val="24"/>
          <w:szCs w:val="24"/>
        </w:rPr>
        <w:t xml:space="preserve">Tapflare. (2025, July 24). Case study: Adobe's transition to a subscription model. https://tapflare.com/articles/adobe-subscription-model-case-study</w:t>
      </w:r>
    </w:p>
    <w:p>
      <w:pPr>
        <w:spacing w:after="120"/>
      </w:pPr>
      <w:r>
        <w:rPr>
          <w:rFonts w:ascii="Arial" w:cs="Arial" w:eastAsia="Arial" w:hAnsi="Arial"/>
          <w:b/>
          <w:bCs/>
          <w:sz w:val="24"/>
          <w:szCs w:val="24"/>
        </w:rPr>
        <w:t xml:space="preserve">3. </w:t>
      </w:r>
      <w:r>
        <w:rPr>
          <w:rFonts w:ascii="Arial" w:cs="Arial" w:eastAsia="Arial" w:hAnsi="Arial"/>
          <w:sz w:val="24"/>
          <w:szCs w:val="24"/>
        </w:rPr>
        <w:t xml:space="preserve">Monetizely. (2025, December 22). Adobe's Creative Cloud transformation: From perpetual licenses to SaaS pricing dominance. https://www.getmonetizely.com/articles/adobes-creative-cloud-transformation-from-perpetual-licenses-to-saas-pricing-dominance</w:t>
      </w:r>
    </w:p>
    <w:p>
      <w:pPr>
        <w:spacing w:after="120"/>
      </w:pPr>
      <w:r>
        <w:rPr>
          <w:rFonts w:ascii="Arial" w:cs="Arial" w:eastAsia="Arial" w:hAnsi="Arial"/>
          <w:b/>
          <w:bCs/>
          <w:sz w:val="24"/>
          <w:szCs w:val="24"/>
        </w:rPr>
        <w:t xml:space="preserve">4. </w:t>
      </w:r>
      <w:r>
        <w:rPr>
          <w:rFonts w:ascii="Arial" w:cs="Arial" w:eastAsia="Arial" w:hAnsi="Arial"/>
          <w:sz w:val="24"/>
          <w:szCs w:val="24"/>
        </w:rPr>
        <w:t xml:space="preserve">Monetizely. (2025, May 21). Lessons from Adobe's shift to subscriptions: A pricing transformation story. https://www.getmonetizely.com/articles/lessons-from-adobes-shift-to-subscriptions-a-pricing-transformation-story</w:t>
      </w:r>
    </w:p>
    <w:p>
      <w:pPr>
        <w:spacing w:after="120"/>
      </w:pPr>
      <w:r>
        <w:rPr>
          <w:rFonts w:ascii="Arial" w:cs="Arial" w:eastAsia="Arial" w:hAnsi="Arial"/>
          <w:b/>
          <w:bCs/>
          <w:sz w:val="24"/>
          <w:szCs w:val="24"/>
        </w:rPr>
        <w:t xml:space="preserve">5. </w:t>
      </w:r>
      <w:r>
        <w:rPr>
          <w:rFonts w:ascii="Arial" w:cs="Arial" w:eastAsia="Arial" w:hAnsi="Arial"/>
          <w:sz w:val="24"/>
          <w:szCs w:val="24"/>
        </w:rPr>
        <w:t xml:space="preserve">DataNext. (2025, January 30). Case study: Adobe's subscription model — a risky move that paid off big. https://www.datanext.ai/case-study/adobe-subscription-model/</w:t>
      </w:r>
    </w:p>
    <w:p>
      <w:pPr>
        <w:spacing w:after="120"/>
      </w:pPr>
      <w:r>
        <w:rPr>
          <w:rFonts w:ascii="Arial" w:cs="Arial" w:eastAsia="Arial" w:hAnsi="Arial"/>
          <w:b/>
          <w:bCs/>
          <w:sz w:val="24"/>
          <w:szCs w:val="24"/>
        </w:rPr>
        <w:t xml:space="preserve">6. </w:t>
      </w:r>
      <w:r>
        <w:rPr>
          <w:rFonts w:ascii="Arial" w:cs="Arial" w:eastAsia="Arial" w:hAnsi="Arial"/>
          <w:sz w:val="24"/>
          <w:szCs w:val="24"/>
        </w:rPr>
        <w:t xml:space="preserve">U.S. Department of Transportation. (2023, December 18). DOT penalizes Southwest Airlines $140 million for 2022 holiday meltdown [Press release]. https://www.transportation.gov/briefing-room/dot-penalizes-southwest-airlines-140-million-2022-holiday-meltdown</w:t>
      </w:r>
    </w:p>
    <w:p>
      <w:pPr>
        <w:spacing w:after="120"/>
      </w:pPr>
      <w:r>
        <w:rPr>
          <w:rFonts w:ascii="Arial" w:cs="Arial" w:eastAsia="Arial" w:hAnsi="Arial"/>
          <w:b/>
          <w:bCs/>
          <w:sz w:val="24"/>
          <w:szCs w:val="24"/>
        </w:rPr>
        <w:t xml:space="preserve">7. </w:t>
      </w:r>
      <w:r>
        <w:rPr>
          <w:rFonts w:ascii="Arial" w:cs="Arial" w:eastAsia="Arial" w:hAnsi="Arial"/>
          <w:sz w:val="24"/>
          <w:szCs w:val="24"/>
        </w:rPr>
        <w:t xml:space="preserve">NPR. (2023, December 18). Southwest will pay a $140 million fine for its meltdown during the 2022 holidays. https://www.npr.org/2023/12/18/1219906471/southwest-airlines-2022-meltdown-fined-faa</w:t>
      </w:r>
    </w:p>
    <w:p>
      <w:pPr>
        <w:spacing w:after="120"/>
      </w:pPr>
      <w:r>
        <w:rPr>
          <w:rFonts w:ascii="Arial" w:cs="Arial" w:eastAsia="Arial" w:hAnsi="Arial"/>
          <w:b/>
          <w:bCs/>
          <w:sz w:val="24"/>
          <w:szCs w:val="24"/>
        </w:rPr>
        <w:t xml:space="preserve">8. </w:t>
      </w:r>
      <w:r>
        <w:rPr>
          <w:rFonts w:ascii="Arial" w:cs="Arial" w:eastAsia="Arial" w:hAnsi="Arial"/>
          <w:sz w:val="24"/>
          <w:szCs w:val="24"/>
        </w:rPr>
        <w:t xml:space="preserve">Simple Flying. (2026, July 8). The aging software that canceled 16,700 Southwest Airlines flights is finally being replaced by 2028. https://simpleflying.com/aging-software-canceled-16700-southwest-airlines-flights-finally-replaced-2028/</w:t>
      </w:r>
    </w:p>
    <w:p>
      <w:pPr>
        <w:spacing w:after="120"/>
      </w:pPr>
      <w:r>
        <w:rPr>
          <w:rFonts w:ascii="Arial" w:cs="Arial" w:eastAsia="Arial" w:hAnsi="Arial"/>
          <w:b/>
          <w:bCs/>
          <w:sz w:val="24"/>
          <w:szCs w:val="24"/>
        </w:rPr>
        <w:t xml:space="preserve">9. </w:t>
      </w:r>
      <w:r>
        <w:rPr>
          <w:rFonts w:ascii="Arial" w:cs="Arial" w:eastAsia="Arial" w:hAnsi="Arial"/>
          <w:sz w:val="24"/>
          <w:szCs w:val="24"/>
        </w:rPr>
        <w:t xml:space="preserve">Travel Noire. (2025, December 9). Southwest's penalty gets a break after 2022 meltdown. https://travelnoire.com/traveler-accountability-southwest-waiver</w:t>
      </w:r>
    </w:p>
    <w:p>
      <w:pPr>
        <w:spacing w:after="120"/>
      </w:pPr>
      <w:r>
        <w:rPr>
          <w:rFonts w:ascii="Arial" w:cs="Arial" w:eastAsia="Arial" w:hAnsi="Arial"/>
          <w:b/>
          <w:bCs/>
          <w:sz w:val="24"/>
          <w:szCs w:val="24"/>
        </w:rPr>
        <w:t xml:space="preserve">10. </w:t>
      </w:r>
      <w:r>
        <w:rPr>
          <w:rFonts w:ascii="Arial" w:cs="Arial" w:eastAsia="Arial" w:hAnsi="Arial"/>
          <w:sz w:val="24"/>
          <w:szCs w:val="24"/>
        </w:rPr>
        <w:t xml:space="preserve">Aviation A2Z. (2025, December 8). Southwest Airlines avoids final $11 million fine after 2022 travel meltdown. https://aviationa2z.com/index.php/2025/12/08/southwest-airlines-avoids-final-11-million-fine-after-2022-travel-meltdown/</w:t>
      </w:r>
    </w:p>
    <w:p>
      <w:pPr>
        <w:spacing w:after="120"/>
      </w:pPr>
      <w:r>
        <w:rPr>
          <w:rFonts w:ascii="Arial" w:cs="Arial" w:eastAsia="Arial" w:hAnsi="Arial"/>
          <w:b/>
          <w:bCs/>
          <w:sz w:val="24"/>
          <w:szCs w:val="24"/>
        </w:rPr>
        <w:t xml:space="preserve">11. </w:t>
      </w:r>
      <w:r>
        <w:rPr>
          <w:rFonts w:ascii="Arial" w:cs="Arial" w:eastAsia="Arial" w:hAnsi="Arial"/>
          <w:sz w:val="24"/>
          <w:szCs w:val="24"/>
        </w:rPr>
        <w:t xml:space="preserve">Gersick, C. J. G. (1991). Revolutionary change theories: A multilevel exploration of the punctuated equilibrium paradigm. Academy of Management Review, 16(1), 10–36. https://doi.org/10.5465/amr.1991.4278988</w:t>
      </w:r>
    </w:p>
    <w:p>
      <w:pPr>
        <w:spacing w:after="120"/>
      </w:pPr>
      <w:r>
        <w:rPr>
          <w:rFonts w:ascii="Arial" w:cs="Arial" w:eastAsia="Arial" w:hAnsi="Arial"/>
          <w:b/>
          <w:bCs/>
          <w:sz w:val="24"/>
          <w:szCs w:val="24"/>
        </w:rPr>
        <w:t xml:space="preserve">12. </w:t>
      </w:r>
      <w:r>
        <w:rPr>
          <w:rFonts w:ascii="Arial" w:cs="Arial" w:eastAsia="Arial" w:hAnsi="Arial"/>
          <w:sz w:val="24"/>
          <w:szCs w:val="24"/>
        </w:rPr>
        <w:t xml:space="preserve">March, J. G. (1991). Exploration and exploitation in organizational learning. Organization Science, 2(1), 71–87. https://doi.org/10.1287/orsc.2.1.71</w:t>
      </w:r>
    </w:p>
    <w:p>
      <w:pPr>
        <w:spacing w:after="120"/>
      </w:pPr>
      <w:r>
        <w:rPr>
          <w:rFonts w:ascii="Arial" w:cs="Arial" w:eastAsia="Arial" w:hAnsi="Arial"/>
          <w:b/>
          <w:bCs/>
          <w:sz w:val="24"/>
          <w:szCs w:val="24"/>
        </w:rPr>
        <w:t xml:space="preserve">13. </w:t>
      </w:r>
      <w:r>
        <w:rPr>
          <w:rFonts w:ascii="Arial" w:cs="Arial" w:eastAsia="Arial" w:hAnsi="Arial"/>
          <w:sz w:val="24"/>
          <w:szCs w:val="24"/>
        </w:rPr>
        <w:t xml:space="preserve">Lewin, K. (1947). Frontiers in group dynamics: Concept, method and reality in social science; social equilibria and social change. Human Relations, 1(1), 5–41. https://doi.org/10.1177/001872674700100103</w:t>
      </w:r>
    </w:p>
    <w:p>
      <w:pPr>
        <w:spacing w:after="120"/>
      </w:pPr>
      <w:r>
        <w:rPr>
          <w:rFonts w:ascii="Arial" w:cs="Arial" w:eastAsia="Arial" w:hAnsi="Arial"/>
          <w:b/>
          <w:bCs/>
          <w:sz w:val="24"/>
          <w:szCs w:val="24"/>
        </w:rPr>
        <w:t xml:space="preserve">14. </w:t>
      </w:r>
      <w:r>
        <w:rPr>
          <w:rFonts w:ascii="Arial" w:cs="Arial" w:eastAsia="Arial" w:hAnsi="Arial"/>
          <w:sz w:val="24"/>
          <w:szCs w:val="24"/>
        </w:rPr>
        <w:t xml:space="preserve">Kotter, J. P. (1995). Leading change: Why transformation efforts fail. Harvard Business Review, 73(2), 59–67. https://hbr.org/1995/05/leading-change-why-transformation-efforts-fail-2</w:t>
      </w:r>
    </w:p>
    <w:p>
      <w:pPr>
        <w:spacing w:after="120"/>
      </w:pPr>
      <w:r>
        <w:rPr>
          <w:rFonts w:ascii="Arial" w:cs="Arial" w:eastAsia="Arial" w:hAnsi="Arial"/>
          <w:b/>
          <w:bCs/>
          <w:sz w:val="24"/>
          <w:szCs w:val="24"/>
        </w:rPr>
        <w:t xml:space="preserve">15. </w:t>
      </w:r>
      <w:r>
        <w:rPr>
          <w:rFonts w:ascii="Arial" w:cs="Arial" w:eastAsia="Arial" w:hAnsi="Arial"/>
          <w:sz w:val="24"/>
          <w:szCs w:val="24"/>
        </w:rPr>
        <w:t xml:space="preserve">Ford, J. D., Ford, L. W., &amp; D'Amelio, A. (2008). Resistance to change: The rest of the story. Academy of Management Review, 33(2), 362–377. https://doi.org/10.5465/amr.2008.31193235</w:t>
      </w:r>
    </w:p>
    <w:p>
      <w:pPr>
        <w:spacing w:after="120"/>
      </w:pPr>
      <w:r>
        <w:rPr>
          <w:rFonts w:ascii="Arial" w:cs="Arial" w:eastAsia="Arial" w:hAnsi="Arial"/>
          <w:b/>
          <w:bCs/>
          <w:sz w:val="24"/>
          <w:szCs w:val="24"/>
        </w:rPr>
        <w:t xml:space="preserve">16. </w:t>
      </w:r>
      <w:r>
        <w:rPr>
          <w:rFonts w:ascii="Arial" w:cs="Arial" w:eastAsia="Arial" w:hAnsi="Arial"/>
          <w:sz w:val="24"/>
          <w:szCs w:val="24"/>
        </w:rPr>
        <w:t xml:space="preserve">Christensen, C. M. (1997). The innovator's dilemma: When new technologies cause great firms to fail. Harvard Business School Press.</w:t>
      </w:r>
    </w:p>
    <w:p>
      <w:pPr>
        <w:spacing w:after="120"/>
      </w:pPr>
      <w:r>
        <w:rPr>
          <w:rFonts w:ascii="Arial" w:cs="Arial" w:eastAsia="Arial" w:hAnsi="Arial"/>
          <w:b/>
          <w:bCs/>
          <w:sz w:val="24"/>
          <w:szCs w:val="24"/>
        </w:rPr>
        <w:t xml:space="preserve">17. </w:t>
      </w:r>
      <w:r>
        <w:rPr>
          <w:rFonts w:ascii="Arial" w:cs="Arial" w:eastAsia="Arial" w:hAnsi="Arial"/>
          <w:sz w:val="24"/>
          <w:szCs w:val="24"/>
        </w:rPr>
        <w:t xml:space="preserve">O'Reilly, C. A., III, &amp; Tushman, M. L. (2004). The ambidextrous organization. Harvard Business Review, 82(4), 74–81. https://hbr.org/2004/04/the-ambidextrous-organization</w:t>
      </w:r>
    </w:p>
    <w:p>
      <w:pPr>
        <w:spacing w:after="160" w:line="276"/>
      </w:pPr>
      <w:r>
        <w:rPr>
          <w:rFonts w:ascii="Arial" w:cs="Arial" w:eastAsia="Arial" w:hAnsi="Arial"/>
          <w:sz w:val="24"/>
          <w:szCs w:val="24"/>
        </w:rPr>
        <w:t xml:space="preserve">Notes appear as superscript numbers in the text and correspond to the numbered sources above. DOIs are provided where available; classic books are cited to their original publishers.</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000000"/>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2026-08-23T16:53:13.572Z</dcterms:created>
  <dcterms:modified xsi:type="dcterms:W3CDTF">2026-08-23T16:53:13.572Z</dcterms:modified>
</cp:coreProperties>
</file>

<file path=docProps/custom.xml><?xml version="1.0" encoding="utf-8"?>
<Properties xmlns="http://schemas.openxmlformats.org/officeDocument/2006/custom-properties" xmlns:vt="http://schemas.openxmlformats.org/officeDocument/2006/docPropsVTypes"/>
</file>