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rFonts w:ascii="Arial" w:cs="Arial" w:eastAsia="Arial" w:hAnsi="Arial"/>
          <w:b/>
          <w:bCs/>
          <w:sz w:val="36"/>
          <w:szCs w:val="36"/>
        </w:rPr>
        <w:t xml:space="preserve">MGT 360 — Management and Organizational Behavior</w:t>
      </w:r>
    </w:p>
    <w:p>
      <w:pPr>
        <w:spacing w:after="60"/>
      </w:pPr>
      <w:r>
        <w:rPr>
          <w:rFonts w:ascii="Arial" w:cs="Arial" w:eastAsia="Arial" w:hAnsi="Arial"/>
          <w:b/>
          <w:bCs/>
          <w:sz w:val="30"/>
          <w:szCs w:val="30"/>
        </w:rPr>
        <w:t xml:space="preserve">Chapter 3 Reading — Motivation: Can You Buy It?</w:t>
      </w:r>
    </w:p>
    <w:p>
      <w:pPr>
        <w:spacing w:after="160" w:line="276"/>
      </w:pPr>
      <w:r>
        <w:rPr>
          <w:rFonts w:ascii="Arial" w:cs="Arial" w:eastAsia="Arial" w:hAnsi="Arial"/>
          <w:sz w:val="24"/>
          <w:szCs w:val="24"/>
        </w:rPr>
        <w:t xml:space="preserve">California State University, Northridge · David Nazarian College of Business and Economics · Version 2026-08-22</w:t>
      </w:r>
    </w:p>
    <w:p>
      <w:pPr>
        <w:spacing w:after="120"/>
      </w:pPr>
    </w:p>
    <w:p>
      <w:pPr>
        <w:shd w:fill="D9D9D9" w:val="clear"/>
        <w:spacing w:after="240" w:before="240"/>
      </w:pPr>
      <w:r>
        <w:rPr>
          <w:rFonts w:ascii="Arial" w:cs="Arial" w:eastAsia="Arial" w:hAnsi="Arial"/>
          <w:b/>
          <w:bCs/>
          <w:sz w:val="32"/>
          <w:szCs w:val="32"/>
        </w:rPr>
        <w:t xml:space="preserve">Part 1: The Hook — The Quota and the Gift</w:t>
      </w:r>
    </w:p>
    <w:p>
      <w:pPr>
        <w:spacing w:after="100" w:before="180"/>
      </w:pPr>
      <w:r>
        <w:rPr>
          <w:rFonts w:ascii="Arial" w:cs="Arial" w:eastAsia="Arial" w:hAnsi="Arial"/>
          <w:b/>
          <w:bCs/>
          <w:i/>
          <w:iCs/>
          <w:sz w:val="24"/>
          <w:szCs w:val="24"/>
        </w:rPr>
        <w:t xml:space="preserve">Opening Scene</w:t>
      </w:r>
    </w:p>
    <w:p>
      <w:pPr>
        <w:spacing w:after="160" w:line="276"/>
      </w:pPr>
      <w:r>
        <w:rPr>
          <w:rFonts w:ascii="Arial" w:cs="Arial" w:eastAsia="Arial" w:hAnsi="Arial"/>
          <w:sz w:val="24"/>
          <w:szCs w:val="24"/>
        </w:rPr>
        <w:t xml:space="preserve">On June 3, 2025, the Federal Reserve did something it had never done before it punished Wells Fargo, and had never done since: it released a bank from an asset cap — a hard ceiling on growth, frozen at roughly $2 trillion since 2018. CEO Charlie Scharf celebrated by giving $2,000 to each of the bank's 215,000 employees.</w:t>
      </w:r>
      <w:r>
        <w:rPr>
          <w:rFonts w:ascii="Arial" w:cs="Arial" w:eastAsia="Arial" w:hAnsi="Arial"/>
          <w:sz w:val="24"/>
          <w:szCs w:val="24"/>
          <w:vertAlign w:val="superscript"/>
        </w:rPr>
        <w:t xml:space="preserve">3</w:t>
      </w:r>
      <w:r>
        <w:rPr>
          <w:rFonts w:ascii="Arial" w:cs="Arial" w:eastAsia="Arial" w:hAnsi="Arial"/>
          <w:sz w:val="24"/>
          <w:szCs w:val="24"/>
        </w:rPr>
        <w:t xml:space="preserve"> The occasion marked the closing chapter of a story that began not with a rogue trader or a bad loan, but with a motivation system. Between 2002 and 2016, under relentless pressure to hit daily cross-selling quotas — with pay, promotion, and continued employment tied to the numbers — thousands of Wells Fargo employees opened roughly 3.5 million accounts customers never asked for: forging signatures, activating unauthorized debit cards, moving money between accounts in a practice known internally as "simulated funding."</w:t>
      </w:r>
      <w:r>
        <w:rPr>
          <w:rFonts w:ascii="Arial" w:cs="Arial" w:eastAsia="Arial" w:hAnsi="Arial"/>
          <w:sz w:val="24"/>
          <w:szCs w:val="24"/>
          <w:vertAlign w:val="superscript"/>
        </w:rPr>
        <w:t xml:space="preserve">1</w:t>
      </w:r>
      <w:r>
        <w:rPr>
          <w:rFonts w:ascii="Arial" w:cs="Arial" w:eastAsia="Arial" w:hAnsi="Arial"/>
          <w:sz w:val="24"/>
          <w:szCs w:val="24"/>
          <w:vertAlign w:val="superscript"/>
        </w:rPr>
        <w:t xml:space="preserve">3</w:t>
      </w:r>
      <w:r>
        <w:rPr>
          <w:rFonts w:ascii="Arial" w:cs="Arial" w:eastAsia="Arial" w:hAnsi="Arial"/>
          <w:sz w:val="24"/>
          <w:szCs w:val="24"/>
        </w:rPr>
        <w:t xml:space="preserve"> Employees who complained that the goals were unreachable were ignored by top executives.</w:t>
      </w:r>
      <w:r>
        <w:rPr>
          <w:rFonts w:ascii="Arial" w:cs="Arial" w:eastAsia="Arial" w:hAnsi="Arial"/>
          <w:sz w:val="24"/>
          <w:szCs w:val="24"/>
          <w:vertAlign w:val="superscript"/>
        </w:rPr>
        <w:t xml:space="preserve">2</w:t>
      </w:r>
      <w:r>
        <w:rPr>
          <w:rFonts w:ascii="Arial" w:cs="Arial" w:eastAsia="Arial" w:hAnsi="Arial"/>
          <w:sz w:val="24"/>
          <w:szCs w:val="24"/>
        </w:rPr>
        <w:t xml:space="preserve"> In 2020 the bank paid $3 billion to resolve criminal and civil investigations, admitting that the pressure to sell had driven the fraud.</w:t>
      </w:r>
      <w:r>
        <w:rPr>
          <w:rFonts w:ascii="Arial" w:cs="Arial" w:eastAsia="Arial" w:hAnsi="Arial"/>
          <w:sz w:val="24"/>
          <w:szCs w:val="24"/>
          <w:vertAlign w:val="superscript"/>
        </w:rPr>
        <w:t xml:space="preserve">1</w:t>
      </w:r>
      <w:r>
        <w:rPr>
          <w:rFonts w:ascii="Arial" w:cs="Arial" w:eastAsia="Arial" w:hAnsi="Arial"/>
          <w:sz w:val="24"/>
          <w:szCs w:val="24"/>
          <w:vertAlign w:val="superscript"/>
        </w:rPr>
        <w:t xml:space="preserve">2</w:t>
      </w:r>
      <w:r>
        <w:rPr>
          <w:rFonts w:ascii="Arial" w:cs="Arial" w:eastAsia="Arial" w:hAnsi="Arial"/>
          <w:sz w:val="24"/>
          <w:szCs w:val="24"/>
        </w:rPr>
        <w:t xml:space="preserve"> The incentives worked exactly as designed. That was the problem.</w:t>
      </w:r>
    </w:p>
    <w:p>
      <w:pPr>
        <w:spacing w:after="160" w:line="276"/>
      </w:pPr>
      <w:r>
        <w:rPr>
          <w:rFonts w:ascii="Arial" w:cs="Arial" w:eastAsia="Arial" w:hAnsi="Arial"/>
          <w:sz w:val="24"/>
          <w:szCs w:val="24"/>
        </w:rPr>
        <w:t xml:space="preserve">Three years earlier and a continent away, a different company ran the opposite experiment. On September 14, 2022, Patagonia's 83-year-old founder Yvon Chouinard announced that his family had given the company away: 98 percent of the $3 billion firm to a nonprofit, the Holdfast Collective, and the 2 percent of voting stock to a purpose trust designed to make the company's values legally permanent. Every dollar of profit not reinvested — roughly $100 million a year — would go to fighting the climate crisis. "Earth is now our only shareholder," Chouinard wrote.</w:t>
      </w:r>
      <w:r>
        <w:rPr>
          <w:rFonts w:ascii="Arial" w:cs="Arial" w:eastAsia="Arial" w:hAnsi="Arial"/>
          <w:sz w:val="24"/>
          <w:szCs w:val="24"/>
          <w:vertAlign w:val="superscript"/>
        </w:rPr>
        <w:t xml:space="preserve">5</w:t>
      </w:r>
      <w:r>
        <w:rPr>
          <w:rFonts w:ascii="Arial" w:cs="Arial" w:eastAsia="Arial" w:hAnsi="Arial"/>
          <w:sz w:val="24"/>
          <w:szCs w:val="24"/>
          <w:vertAlign w:val="superscript"/>
        </w:rPr>
        <w:t xml:space="preserve">6</w:t>
      </w:r>
      <w:r>
        <w:rPr>
          <w:rFonts w:ascii="Arial" w:cs="Arial" w:eastAsia="Arial" w:hAnsi="Arial"/>
          <w:sz w:val="24"/>
          <w:szCs w:val="24"/>
        </w:rPr>
        <w:t xml:space="preserve"> Patagonia's employees woke up working for a company that could never make any of them, or anyone, rich from its equity. By conventional incentive logic, motivation should have collapsed. It did not; the announcement was received internally as a confirmation of why people had joined.</w:t>
      </w:r>
      <w:r>
        <w:rPr>
          <w:rFonts w:ascii="Arial" w:cs="Arial" w:eastAsia="Arial" w:hAnsi="Arial"/>
          <w:sz w:val="24"/>
          <w:szCs w:val="24"/>
          <w:vertAlign w:val="superscript"/>
        </w:rPr>
        <w:t xml:space="preserve">7</w:t>
      </w:r>
    </w:p>
    <w:p>
      <w:pPr>
        <w:spacing w:after="100" w:before="180"/>
      </w:pPr>
      <w:r>
        <w:rPr>
          <w:rFonts w:ascii="Arial" w:cs="Arial" w:eastAsia="Arial" w:hAnsi="Arial"/>
          <w:b/>
          <w:bCs/>
          <w:i/>
          <w:iCs/>
          <w:sz w:val="24"/>
          <w:szCs w:val="24"/>
        </w:rPr>
        <w:t xml:space="preserve">The Unresolved Question</w:t>
      </w:r>
    </w:p>
    <w:p>
      <w:pPr>
        <w:spacing w:after="160" w:line="276"/>
      </w:pPr>
      <w:r>
        <w:rPr>
          <w:rFonts w:ascii="Arial" w:cs="Arial" w:eastAsia="Arial" w:hAnsi="Arial"/>
          <w:sz w:val="24"/>
          <w:szCs w:val="24"/>
        </w:rPr>
        <w:t xml:space="preserve">Two companies asked the same question — how do we make people care about the company's goals? — and answered it in opposite ways. Wells Fargo bought effort with targets, bonuses, and fear, and got effort so intense it became fraud. Patagonia removed the standard payoffs and relied on meaning, and got a workforce famous for devotion. The lazy conclusion — incentives bad, purpose good — is wrong, and you should resist it: goal-setting with incentives is among the most replicated performance tools in all of organizational research, and purpose without a paycheck motivates no one for long. The genuine puzzle is conditional: </w:t>
      </w:r>
      <w:r>
        <w:rPr>
          <w:rFonts w:ascii="Arial" w:cs="Arial" w:eastAsia="Arial" w:hAnsi="Arial"/>
          <w:b/>
          <w:bCs/>
          <w:sz w:val="24"/>
          <w:szCs w:val="24"/>
        </w:rPr>
        <w:t xml:space="preserve">when</w:t>
      </w:r>
      <w:r>
        <w:rPr>
          <w:rFonts w:ascii="Arial" w:cs="Arial" w:eastAsia="Arial" w:hAnsi="Arial"/>
          <w:sz w:val="24"/>
          <w:szCs w:val="24"/>
        </w:rPr>
        <w:t xml:space="preserve"> does paying for performance energize people, and when does it corrupt or crowd out the very motivation it is meant to produce?</w:t>
      </w:r>
    </w:p>
    <w:p>
      <w:pPr>
        <w:spacing w:after="100" w:before="180"/>
      </w:pPr>
      <w:r>
        <w:rPr>
          <w:rFonts w:ascii="Arial" w:cs="Arial" w:eastAsia="Arial" w:hAnsi="Arial"/>
          <w:b/>
          <w:bCs/>
          <w:i/>
          <w:iCs/>
          <w:sz w:val="24"/>
          <w:szCs w:val="24"/>
        </w:rPr>
        <w:t xml:space="preserve">Chapter Roadmap</w:t>
      </w:r>
    </w:p>
    <w:p>
      <w:pPr>
        <w:spacing w:after="160" w:line="276"/>
      </w:pPr>
      <w:r>
        <w:rPr>
          <w:rFonts w:ascii="Arial" w:cs="Arial" w:eastAsia="Arial" w:hAnsi="Arial"/>
          <w:sz w:val="24"/>
          <w:szCs w:val="24"/>
        </w:rPr>
        <w:t xml:space="preserve">That is this chapter's central question: </w:t>
      </w:r>
      <w:r>
        <w:rPr>
          <w:rFonts w:ascii="Arial" w:cs="Arial" w:eastAsia="Arial" w:hAnsi="Arial"/>
          <w:b/>
          <w:bCs/>
          <w:sz w:val="24"/>
          <w:szCs w:val="24"/>
        </w:rPr>
        <w:t xml:space="preserve">can you buy motivation — and what exactly do you get for the money?</w:t>
      </w:r>
      <w:r>
        <w:rPr>
          <w:rFonts w:ascii="Arial" w:cs="Arial" w:eastAsia="Arial" w:hAnsi="Arial"/>
          <w:sz w:val="24"/>
          <w:szCs w:val="24"/>
        </w:rPr>
        <w:t xml:space="preserve"> The tools: needs theories and why the famous pyramid mostly fails as science; expectancy theory, the manager's diagnostic for effort; equity and organizational justice, the comparison-driven side of motivation; goal-setting theory — the field's best-validated tool — together with its documented dark side; self-determination theory and the fight over whether rewards undermine intrinsic motivation; and the evidence on what pay actually buys. We then return to Wells Fargo and Patagonia as the two boundary cases every motivation system must steer between.</w:t>
      </w:r>
    </w:p>
    <w:p>
      <w:r>
        <w:br w:type="page"/>
      </w:r>
    </w:p>
    <w:p>
      <w:pPr>
        <w:shd w:fill="D9D9D9" w:val="clear"/>
        <w:spacing w:after="240" w:before="240"/>
      </w:pPr>
      <w:r>
        <w:rPr>
          <w:rFonts w:ascii="Arial" w:cs="Arial" w:eastAsia="Arial" w:hAnsi="Arial"/>
          <w:b/>
          <w:bCs/>
          <w:sz w:val="32"/>
          <w:szCs w:val="32"/>
        </w:rPr>
        <w:t xml:space="preserve">Part 2: Core Concepts</w:t>
      </w:r>
    </w:p>
    <w:p>
      <w:pPr>
        <w:spacing w:after="120" w:before="240"/>
      </w:pPr>
      <w:r>
        <w:rPr>
          <w:rFonts w:ascii="Arial" w:cs="Arial" w:eastAsia="Arial" w:hAnsi="Arial"/>
          <w:b/>
          <w:bCs/>
          <w:sz w:val="28"/>
          <w:szCs w:val="28"/>
        </w:rPr>
        <w:t xml:space="preserve">2.1  Needs Theories: The Pyramid and Its Problems</w:t>
      </w:r>
    </w:p>
    <w:p>
      <w:pPr>
        <w:spacing w:after="100" w:before="180"/>
      </w:pPr>
      <w:r>
        <w:rPr>
          <w:rFonts w:ascii="Arial" w:cs="Arial" w:eastAsia="Arial" w:hAnsi="Arial"/>
          <w:b/>
          <w:bCs/>
          <w:i/>
          <w:iCs/>
          <w:sz w:val="24"/>
          <w:szCs w:val="24"/>
        </w:rPr>
        <w:t xml:space="preserve">Definition and Origin</w:t>
      </w:r>
    </w:p>
    <w:p>
      <w:pPr>
        <w:spacing w:after="160" w:line="276"/>
      </w:pPr>
      <w:r>
        <w:rPr>
          <w:rFonts w:ascii="Arial" w:cs="Arial" w:eastAsia="Arial" w:hAnsi="Arial"/>
          <w:b/>
          <w:bCs/>
          <w:sz w:val="24"/>
          <w:szCs w:val="24"/>
        </w:rPr>
        <w:t xml:space="preserve">Motivation</w:t>
      </w:r>
      <w:r>
        <w:rPr>
          <w:rFonts w:ascii="Arial" w:cs="Arial" w:eastAsia="Arial" w:hAnsi="Arial"/>
          <w:sz w:val="24"/>
          <w:szCs w:val="24"/>
        </w:rPr>
        <w:t xml:space="preserve"> is the set of forces that initiate, direct, and sustain effort. The earliest workplace theories located those forces in universal human </w:t>
      </w:r>
      <w:r>
        <w:rPr>
          <w:rFonts w:ascii="Arial" w:cs="Arial" w:eastAsia="Arial" w:hAnsi="Arial"/>
          <w:b/>
          <w:bCs/>
          <w:sz w:val="24"/>
          <w:szCs w:val="24"/>
        </w:rPr>
        <w:t xml:space="preserve">needs</w:t>
      </w:r>
      <w:r>
        <w:rPr>
          <w:rFonts w:ascii="Arial" w:cs="Arial" w:eastAsia="Arial" w:hAnsi="Arial"/>
          <w:sz w:val="24"/>
          <w:szCs w:val="24"/>
        </w:rPr>
        <w:t xml:space="preserve">. Abraham Maslow's 1943 paper proposed the most famous version: physiological needs, safety, belonging, esteem, and self-actualization, usually drawn (though not by Maslow) as a pyramid climbed one level at a time.</w:t>
      </w:r>
      <w:r>
        <w:rPr>
          <w:rFonts w:ascii="Arial" w:cs="Arial" w:eastAsia="Arial" w:hAnsi="Arial"/>
          <w:sz w:val="24"/>
          <w:szCs w:val="24"/>
          <w:vertAlign w:val="superscript"/>
        </w:rPr>
        <w:t xml:space="preserve">8</w:t>
      </w:r>
    </w:p>
    <w:p>
      <w:pPr>
        <w:spacing w:after="100" w:before="180"/>
      </w:pPr>
      <w:r>
        <w:rPr>
          <w:rFonts w:ascii="Arial" w:cs="Arial" w:eastAsia="Arial" w:hAnsi="Arial"/>
          <w:b/>
          <w:bCs/>
          <w:i/>
          <w:iCs/>
          <w:sz w:val="24"/>
          <w:szCs w:val="24"/>
        </w:rPr>
        <w:t xml:space="preserve">What the Research Shows, Why It Matters, and Where It Breaks Down</w:t>
      </w:r>
    </w:p>
    <w:p>
      <w:pPr>
        <w:spacing w:after="160" w:line="276"/>
      </w:pPr>
      <w:r>
        <w:rPr>
          <w:rFonts w:ascii="Arial" w:cs="Arial" w:eastAsia="Arial" w:hAnsi="Arial"/>
          <w:sz w:val="24"/>
          <w:szCs w:val="24"/>
        </w:rPr>
        <w:t xml:space="preserve">Here the textbook must be honest: the hierarchy, as a strict staircase, has failed empirically. People pursue "higher" needs while "lower" ones go unmet — artists starve, activists risk safety, employees seek meaning in insecure jobs — and decades of research have found little support for the fixed ordering. What survives is weaker but useful: needs are real, they differ across people and life stages, and a workplace that ignores basic ones (fair pay, security, respect) cannot buy its way out with mission statements. David McClelland's alternative — that people vary in learned needs for </w:t>
      </w:r>
      <w:r>
        <w:rPr>
          <w:rFonts w:ascii="Arial" w:cs="Arial" w:eastAsia="Arial" w:hAnsi="Arial"/>
          <w:b/>
          <w:bCs/>
          <w:sz w:val="24"/>
          <w:szCs w:val="24"/>
        </w:rPr>
        <w:t xml:space="preserve">achievement</w:t>
      </w:r>
      <w:r>
        <w:rPr>
          <w:rFonts w:ascii="Arial" w:cs="Arial" w:eastAsia="Arial" w:hAnsi="Arial"/>
          <w:sz w:val="24"/>
          <w:szCs w:val="24"/>
        </w:rPr>
        <w:t xml:space="preserve">, </w:t>
      </w:r>
      <w:r>
        <w:rPr>
          <w:rFonts w:ascii="Arial" w:cs="Arial" w:eastAsia="Arial" w:hAnsi="Arial"/>
          <w:b/>
          <w:bCs/>
          <w:sz w:val="24"/>
          <w:szCs w:val="24"/>
        </w:rPr>
        <w:t xml:space="preserve">affiliation</w:t>
      </w:r>
      <w:r>
        <w:rPr>
          <w:rFonts w:ascii="Arial" w:cs="Arial" w:eastAsia="Arial" w:hAnsi="Arial"/>
          <w:sz w:val="24"/>
          <w:szCs w:val="24"/>
        </w:rPr>
        <w:t xml:space="preserve">, and </w:t>
      </w:r>
      <w:r>
        <w:rPr>
          <w:rFonts w:ascii="Arial" w:cs="Arial" w:eastAsia="Arial" w:hAnsi="Arial"/>
          <w:b/>
          <w:bCs/>
          <w:sz w:val="24"/>
          <w:szCs w:val="24"/>
        </w:rPr>
        <w:t xml:space="preserve">power</w:t>
      </w:r>
      <w:r>
        <w:rPr>
          <w:rFonts w:ascii="Arial" w:cs="Arial" w:eastAsia="Arial" w:hAnsi="Arial"/>
          <w:sz w:val="24"/>
          <w:szCs w:val="24"/>
        </w:rPr>
        <w:t xml:space="preserve"> — has aged better as a theory of individual differences and previews Week 4. The managerial takeaway from the needs tradition is diagnostic humility: before deploying any motivation technique, ask what this particular person currently needs, rather than assuming a universal ladder.</w:t>
      </w:r>
    </w:p>
    <w:p>
      <w:pPr>
        <w:spacing w:after="120" w:before="240"/>
      </w:pPr>
      <w:r>
        <w:rPr>
          <w:rFonts w:ascii="Arial" w:cs="Arial" w:eastAsia="Arial" w:hAnsi="Arial"/>
          <w:b/>
          <w:bCs/>
          <w:sz w:val="28"/>
          <w:szCs w:val="28"/>
        </w:rPr>
        <w:t xml:space="preserve">2.2  Expectancy Theory: The Manager's Diagnostic</w:t>
      </w:r>
    </w:p>
    <w:p>
      <w:pPr>
        <w:spacing w:after="100" w:before="180"/>
      </w:pPr>
      <w:r>
        <w:rPr>
          <w:rFonts w:ascii="Arial" w:cs="Arial" w:eastAsia="Arial" w:hAnsi="Arial"/>
          <w:b/>
          <w:bCs/>
          <w:i/>
          <w:iCs/>
          <w:sz w:val="24"/>
          <w:szCs w:val="24"/>
        </w:rPr>
        <w:t xml:space="preserve">Definition and Origin</w:t>
      </w:r>
    </w:p>
    <w:p>
      <w:pPr>
        <w:spacing w:after="160" w:line="276"/>
      </w:pPr>
      <w:r>
        <w:rPr>
          <w:rFonts w:ascii="Arial" w:cs="Arial" w:eastAsia="Arial" w:hAnsi="Arial"/>
          <w:sz w:val="24"/>
          <w:szCs w:val="24"/>
        </w:rPr>
        <w:t xml:space="preserve">Victor Vroom's 1964 </w:t>
      </w:r>
      <w:r>
        <w:rPr>
          <w:rFonts w:ascii="Arial" w:cs="Arial" w:eastAsia="Arial" w:hAnsi="Arial"/>
          <w:b/>
          <w:bCs/>
          <w:sz w:val="24"/>
          <w:szCs w:val="24"/>
        </w:rPr>
        <w:t xml:space="preserve">expectancy theory</w:t>
      </w:r>
      <w:r>
        <w:rPr>
          <w:rFonts w:ascii="Arial" w:cs="Arial" w:eastAsia="Arial" w:hAnsi="Arial"/>
          <w:sz w:val="24"/>
          <w:szCs w:val="24"/>
        </w:rPr>
        <w:t xml:space="preserve"> treats motivation as a rational calculation with three multiplied terms.</w:t>
      </w:r>
      <w:r>
        <w:rPr>
          <w:rFonts w:ascii="Arial" w:cs="Arial" w:eastAsia="Arial" w:hAnsi="Arial"/>
          <w:sz w:val="24"/>
          <w:szCs w:val="24"/>
          <w:vertAlign w:val="superscript"/>
        </w:rPr>
        <w:t xml:space="preserve">9</w:t>
      </w:r>
    </w:p>
    <w:p>
      <w:pPr>
        <w:spacing w:after="100" w:before="180"/>
      </w:pPr>
      <w:r>
        <w:rPr>
          <w:rFonts w:ascii="Arial" w:cs="Arial" w:eastAsia="Arial" w:hAnsi="Arial"/>
          <w:b/>
          <w:bCs/>
          <w:i/>
          <w:iCs/>
          <w:sz w:val="24"/>
          <w:szCs w:val="24"/>
        </w:rPr>
        <w:t xml:space="preserve">Core Components</w:t>
      </w:r>
    </w:p>
    <w:p>
      <w:pPr>
        <w:spacing w:after="160" w:line="276"/>
      </w:pPr>
      <w:r>
        <w:rPr>
          <w:rFonts w:ascii="Arial" w:cs="Arial" w:eastAsia="Arial" w:hAnsi="Arial"/>
          <w:sz w:val="24"/>
          <w:szCs w:val="24"/>
        </w:rPr>
        <w:t xml:space="preserve">• </w:t>
      </w:r>
      <w:r>
        <w:rPr>
          <w:rFonts w:ascii="Arial" w:cs="Arial" w:eastAsia="Arial" w:hAnsi="Arial"/>
          <w:b/>
          <w:bCs/>
          <w:sz w:val="24"/>
          <w:szCs w:val="24"/>
        </w:rPr>
        <w:t xml:space="preserve">Expectancy</w:t>
      </w:r>
      <w:r>
        <w:rPr>
          <w:rFonts w:ascii="Arial" w:cs="Arial" w:eastAsia="Arial" w:hAnsi="Arial"/>
          <w:sz w:val="24"/>
          <w:szCs w:val="24"/>
        </w:rPr>
        <w:t xml:space="preserve"> — "If I try, can I actually perform?" (effort → performance)</w:t>
      </w:r>
    </w:p>
    <w:p>
      <w:pPr>
        <w:spacing w:after="160" w:line="276"/>
      </w:pPr>
      <w:r>
        <w:rPr>
          <w:rFonts w:ascii="Arial" w:cs="Arial" w:eastAsia="Arial" w:hAnsi="Arial"/>
          <w:sz w:val="24"/>
          <w:szCs w:val="24"/>
        </w:rPr>
        <w:t xml:space="preserve">• </w:t>
      </w:r>
      <w:r>
        <w:rPr>
          <w:rFonts w:ascii="Arial" w:cs="Arial" w:eastAsia="Arial" w:hAnsi="Arial"/>
          <w:b/>
          <w:bCs/>
          <w:sz w:val="24"/>
          <w:szCs w:val="24"/>
        </w:rPr>
        <w:t xml:space="preserve">Instrumentality</w:t>
      </w:r>
      <w:r>
        <w:rPr>
          <w:rFonts w:ascii="Arial" w:cs="Arial" w:eastAsia="Arial" w:hAnsi="Arial"/>
          <w:sz w:val="24"/>
          <w:szCs w:val="24"/>
        </w:rPr>
        <w:t xml:space="preserve"> — "If I perform, will it actually be rewarded?" (performance → outcome)</w:t>
      </w:r>
    </w:p>
    <w:p>
      <w:pPr>
        <w:spacing w:after="160" w:line="276"/>
      </w:pPr>
      <w:r>
        <w:rPr>
          <w:rFonts w:ascii="Arial" w:cs="Arial" w:eastAsia="Arial" w:hAnsi="Arial"/>
          <w:sz w:val="24"/>
          <w:szCs w:val="24"/>
        </w:rPr>
        <w:t xml:space="preserve">• </w:t>
      </w:r>
      <w:r>
        <w:rPr>
          <w:rFonts w:ascii="Arial" w:cs="Arial" w:eastAsia="Arial" w:hAnsi="Arial"/>
          <w:b/>
          <w:bCs/>
          <w:sz w:val="24"/>
          <w:szCs w:val="24"/>
        </w:rPr>
        <w:t xml:space="preserve">Valence</w:t>
      </w:r>
      <w:r>
        <w:rPr>
          <w:rFonts w:ascii="Arial" w:cs="Arial" w:eastAsia="Arial" w:hAnsi="Arial"/>
          <w:sz w:val="24"/>
          <w:szCs w:val="24"/>
        </w:rPr>
        <w:t xml:space="preserve"> — "Do I actually value the reward?"</w:t>
      </w:r>
    </w:p>
    <w:p>
      <w:pPr>
        <w:spacing w:after="160" w:line="276"/>
      </w:pPr>
      <w:r>
        <w:rPr>
          <w:rFonts w:ascii="Arial" w:cs="Arial" w:eastAsia="Arial" w:hAnsi="Arial"/>
          <w:sz w:val="24"/>
          <w:szCs w:val="24"/>
        </w:rPr>
        <w:t xml:space="preserve">Because the terms multiply, a zero anywhere zeroes motivation: an impossible goal (expectancy = 0), a broken promise (instrumentality = 0), or a prize nobody wants (valence = 0) each kills effort on its own.</w:t>
      </w:r>
    </w:p>
    <w:p>
      <w:pPr>
        <w:spacing w:after="100" w:before="180"/>
      </w:pPr>
      <w:r>
        <w:rPr>
          <w:rFonts w:ascii="Arial" w:cs="Arial" w:eastAsia="Arial" w:hAnsi="Arial"/>
          <w:b/>
          <w:bCs/>
          <w:i/>
          <w:iCs/>
          <w:sz w:val="24"/>
          <w:szCs w:val="24"/>
        </w:rPr>
        <w:t xml:space="preserve">Why It Matters and Where It Breaks Down</w:t>
      </w:r>
    </w:p>
    <w:p>
      <w:pPr>
        <w:spacing w:after="160" w:line="276"/>
      </w:pPr>
      <w:r>
        <w:rPr>
          <w:rFonts w:ascii="Arial" w:cs="Arial" w:eastAsia="Arial" w:hAnsi="Arial"/>
          <w:sz w:val="24"/>
          <w:szCs w:val="24"/>
        </w:rPr>
        <w:t xml:space="preserve">Expectancy theory is less a grand theory than the single best troubleshooting checklist in management: when someone isn't trying, locate the broken link before prescribing a fix. It also illuminates Wells Fargo with uncomfortable precision. The bank maximized instrumentality (pay and employment hinged tightly on sales) and valence (keeping your job) while setting expectancy for </w:t>
      </w:r>
      <w:r>
        <w:rPr>
          <w:rFonts w:ascii="Arial" w:cs="Arial" w:eastAsia="Arial" w:hAnsi="Arial"/>
          <w:b/>
          <w:bCs/>
          <w:sz w:val="24"/>
          <w:szCs w:val="24"/>
        </w:rPr>
        <w:t xml:space="preserve">honest</w:t>
      </w:r>
      <w:r>
        <w:rPr>
          <w:rFonts w:ascii="Arial" w:cs="Arial" w:eastAsia="Arial" w:hAnsi="Arial"/>
          <w:sz w:val="24"/>
          <w:szCs w:val="24"/>
        </w:rPr>
        <w:t xml:space="preserve"> performance near zero — the quotas were, by the Justice Department's account, unrealistic.</w:t>
      </w:r>
      <w:r>
        <w:rPr>
          <w:rFonts w:ascii="Arial" w:cs="Arial" w:eastAsia="Arial" w:hAnsi="Arial"/>
          <w:sz w:val="24"/>
          <w:szCs w:val="24"/>
          <w:vertAlign w:val="superscript"/>
        </w:rPr>
        <w:t xml:space="preserve">1</w:t>
      </w:r>
      <w:r>
        <w:rPr>
          <w:rFonts w:ascii="Arial" w:cs="Arial" w:eastAsia="Arial" w:hAnsi="Arial"/>
          <w:sz w:val="24"/>
          <w:szCs w:val="24"/>
          <w:vertAlign w:val="superscript"/>
        </w:rPr>
        <w:t xml:space="preserve">2</w:t>
      </w:r>
      <w:r>
        <w:rPr>
          <w:rFonts w:ascii="Arial" w:cs="Arial" w:eastAsia="Arial" w:hAnsi="Arial"/>
          <w:sz w:val="24"/>
          <w:szCs w:val="24"/>
        </w:rPr>
        <w:t xml:space="preserve"> Expectancy theory predicts exactly what happened next: when legitimate effort cannot reach the goal but the reward contingency stays lethal, people restore expectancy the only way left — by cheating. The theory's limits: humans are not consistent calculators; we misestimate probabilities, and the theory says nothing about where valences come from or whether the behavior incentivized is the behavior desired.</w:t>
      </w:r>
    </w:p>
    <w:p>
      <w:pPr>
        <w:spacing w:after="120" w:before="240"/>
      </w:pPr>
      <w:r>
        <w:rPr>
          <w:rFonts w:ascii="Arial" w:cs="Arial" w:eastAsia="Arial" w:hAnsi="Arial"/>
          <w:b/>
          <w:bCs/>
          <w:sz w:val="28"/>
          <w:szCs w:val="28"/>
        </w:rPr>
        <w:t xml:space="preserve">2.3  Equity and Organizational Justice: Motivation by Comparison</w:t>
      </w:r>
    </w:p>
    <w:p>
      <w:pPr>
        <w:spacing w:after="100" w:before="180"/>
      </w:pPr>
      <w:r>
        <w:rPr>
          <w:rFonts w:ascii="Arial" w:cs="Arial" w:eastAsia="Arial" w:hAnsi="Arial"/>
          <w:b/>
          <w:bCs/>
          <w:i/>
          <w:iCs/>
          <w:sz w:val="24"/>
          <w:szCs w:val="24"/>
        </w:rPr>
        <w:t xml:space="preserve">Definition and Origin</w:t>
      </w:r>
    </w:p>
    <w:p>
      <w:pPr>
        <w:spacing w:after="160" w:line="276"/>
      </w:pPr>
      <w:r>
        <w:rPr>
          <w:rFonts w:ascii="Arial" w:cs="Arial" w:eastAsia="Arial" w:hAnsi="Arial"/>
          <w:sz w:val="24"/>
          <w:szCs w:val="24"/>
        </w:rPr>
        <w:t xml:space="preserve">J. Stacy Adams's 1965 </w:t>
      </w:r>
      <w:r>
        <w:rPr>
          <w:rFonts w:ascii="Arial" w:cs="Arial" w:eastAsia="Arial" w:hAnsi="Arial"/>
          <w:b/>
          <w:bCs/>
          <w:sz w:val="24"/>
          <w:szCs w:val="24"/>
        </w:rPr>
        <w:t xml:space="preserve">equity theory</w:t>
      </w:r>
      <w:r>
        <w:rPr>
          <w:rFonts w:ascii="Arial" w:cs="Arial" w:eastAsia="Arial" w:hAnsi="Arial"/>
          <w:sz w:val="24"/>
          <w:szCs w:val="24"/>
        </w:rPr>
        <w:t xml:space="preserve"> proposed that people evaluate rewards not absolutely but as a ratio — my outcomes to my inputs, compared against a referent other's ratio — and are motivated to correct perceived inequity: by working less, demanding more, distorting perceptions, changing comparisons, or leaving.</w:t>
      </w:r>
      <w:r>
        <w:rPr>
          <w:rFonts w:ascii="Arial" w:cs="Arial" w:eastAsia="Arial" w:hAnsi="Arial"/>
          <w:sz w:val="24"/>
          <w:szCs w:val="24"/>
          <w:vertAlign w:val="superscript"/>
        </w:rPr>
        <w:t xml:space="preserve">10</w:t>
      </w:r>
      <w:r>
        <w:rPr>
          <w:rFonts w:ascii="Arial" w:cs="Arial" w:eastAsia="Arial" w:hAnsi="Arial"/>
          <w:sz w:val="24"/>
          <w:szCs w:val="24"/>
        </w:rPr>
        <w:t xml:space="preserve"> The modern descendant is </w:t>
      </w:r>
      <w:r>
        <w:rPr>
          <w:rFonts w:ascii="Arial" w:cs="Arial" w:eastAsia="Arial" w:hAnsi="Arial"/>
          <w:b/>
          <w:bCs/>
          <w:sz w:val="24"/>
          <w:szCs w:val="24"/>
        </w:rPr>
        <w:t xml:space="preserve">organizational justice</w:t>
      </w:r>
      <w:r>
        <w:rPr>
          <w:rFonts w:ascii="Arial" w:cs="Arial" w:eastAsia="Arial" w:hAnsi="Arial"/>
          <w:sz w:val="24"/>
          <w:szCs w:val="24"/>
        </w:rPr>
        <w:t xml:space="preserve">, which distinguishes fairness of outcomes (</w:t>
      </w:r>
      <w:r>
        <w:rPr>
          <w:rFonts w:ascii="Arial" w:cs="Arial" w:eastAsia="Arial" w:hAnsi="Arial"/>
          <w:b/>
          <w:bCs/>
          <w:sz w:val="24"/>
          <w:szCs w:val="24"/>
        </w:rPr>
        <w:t xml:space="preserve">distributive</w:t>
      </w:r>
      <w:r>
        <w:rPr>
          <w:rFonts w:ascii="Arial" w:cs="Arial" w:eastAsia="Arial" w:hAnsi="Arial"/>
          <w:sz w:val="24"/>
          <w:szCs w:val="24"/>
        </w:rPr>
        <w:t xml:space="preserve">), of procedures (</w:t>
      </w:r>
      <w:r>
        <w:rPr>
          <w:rFonts w:ascii="Arial" w:cs="Arial" w:eastAsia="Arial" w:hAnsi="Arial"/>
          <w:b/>
          <w:bCs/>
          <w:sz w:val="24"/>
          <w:szCs w:val="24"/>
        </w:rPr>
        <w:t xml:space="preserve">procedural</w:t>
      </w:r>
      <w:r>
        <w:rPr>
          <w:rFonts w:ascii="Arial" w:cs="Arial" w:eastAsia="Arial" w:hAnsi="Arial"/>
          <w:sz w:val="24"/>
          <w:szCs w:val="24"/>
        </w:rPr>
        <w:t xml:space="preserve">), and of interpersonal treatment and explanation (</w:t>
      </w:r>
      <w:r>
        <w:rPr>
          <w:rFonts w:ascii="Arial" w:cs="Arial" w:eastAsia="Arial" w:hAnsi="Arial"/>
          <w:b/>
          <w:bCs/>
          <w:sz w:val="24"/>
          <w:szCs w:val="24"/>
        </w:rPr>
        <w:t xml:space="preserve">interactional</w:t>
      </w:r>
      <w:r>
        <w:rPr>
          <w:rFonts w:ascii="Arial" w:cs="Arial" w:eastAsia="Arial" w:hAnsi="Arial"/>
          <w:sz w:val="24"/>
          <w:szCs w:val="24"/>
        </w:rPr>
        <w:t xml:space="preserve">).</w:t>
      </w:r>
    </w:p>
    <w:p>
      <w:pPr>
        <w:spacing w:after="100" w:before="180"/>
      </w:pPr>
      <w:r>
        <w:rPr>
          <w:rFonts w:ascii="Arial" w:cs="Arial" w:eastAsia="Arial" w:hAnsi="Arial"/>
          <w:b/>
          <w:bCs/>
          <w:i/>
          <w:iCs/>
          <w:sz w:val="24"/>
          <w:szCs w:val="24"/>
        </w:rPr>
        <w:t xml:space="preserve">What the Research Shows, Why It Matters, and Where It Breaks Down</w:t>
      </w:r>
    </w:p>
    <w:p>
      <w:pPr>
        <w:spacing w:after="160" w:line="276"/>
      </w:pPr>
      <w:r>
        <w:rPr>
          <w:rFonts w:ascii="Arial" w:cs="Arial" w:eastAsia="Arial" w:hAnsi="Arial"/>
          <w:sz w:val="24"/>
          <w:szCs w:val="24"/>
        </w:rPr>
        <w:t xml:space="preserve">Jason Colquitt and colleagues' 2001 meta-analysis of 25 years of justice research (183 studies) established the field's central finding: the justice dimensions are distinct, and each predicts different outcomes — distributive justice ties most closely to satisfaction with outcomes, while procedural justice predicts organizational commitment, trust in management, and citizenship behavior.</w:t>
      </w:r>
      <w:r>
        <w:rPr>
          <w:rFonts w:ascii="Arial" w:cs="Arial" w:eastAsia="Arial" w:hAnsi="Arial"/>
          <w:sz w:val="24"/>
          <w:szCs w:val="24"/>
          <w:vertAlign w:val="superscript"/>
        </w:rPr>
        <w:t xml:space="preserve">11</w:t>
      </w:r>
      <w:r>
        <w:rPr>
          <w:rFonts w:ascii="Arial" w:cs="Arial" w:eastAsia="Arial" w:hAnsi="Arial"/>
          <w:sz w:val="24"/>
          <w:szCs w:val="24"/>
        </w:rPr>
        <w:t xml:space="preserve"> The practical implication is one of the most useful in this course: </w:t>
      </w:r>
      <w:r>
        <w:rPr>
          <w:rFonts w:ascii="Arial" w:cs="Arial" w:eastAsia="Arial" w:hAnsi="Arial"/>
          <w:b/>
          <w:bCs/>
          <w:sz w:val="24"/>
          <w:szCs w:val="24"/>
        </w:rPr>
        <w:t xml:space="preserve">people can accept unfavorable outcomes delivered through fair processes.</w:t>
      </w:r>
      <w:r>
        <w:rPr>
          <w:rFonts w:ascii="Arial" w:cs="Arial" w:eastAsia="Arial" w:hAnsi="Arial"/>
          <w:sz w:val="24"/>
          <w:szCs w:val="24"/>
        </w:rPr>
        <w:t xml:space="preserve"> A transparent, consistent, voice-giving procedure buys legitimacy that money cannot. The theory's edges: equity comparisons are perceptual (two employees with identical pay can perceive opposite inequities depending on whom they compare themselves to), referents are unstable, and — as social media makes everyone's compensation and lifestyle visible — the comparison set has exploded beyond the adjacent cubicle. Underpayment reliably demotivates; overpayment produces guilt-driven extra effort only briefly, if at all.</w:t>
      </w:r>
    </w:p>
    <w:p>
      <w:pPr>
        <w:spacing w:after="120" w:before="240"/>
      </w:pPr>
      <w:r>
        <w:rPr>
          <w:rFonts w:ascii="Arial" w:cs="Arial" w:eastAsia="Arial" w:hAnsi="Arial"/>
          <w:b/>
          <w:bCs/>
          <w:sz w:val="28"/>
          <w:szCs w:val="28"/>
        </w:rPr>
        <w:t xml:space="preserve">2.4  Goal-Setting Theory — and Goals Gone Wild</w:t>
      </w:r>
    </w:p>
    <w:p>
      <w:pPr>
        <w:spacing w:after="100" w:before="180"/>
      </w:pPr>
      <w:r>
        <w:rPr>
          <w:rFonts w:ascii="Arial" w:cs="Arial" w:eastAsia="Arial" w:hAnsi="Arial"/>
          <w:b/>
          <w:bCs/>
          <w:i/>
          <w:iCs/>
          <w:sz w:val="24"/>
          <w:szCs w:val="24"/>
        </w:rPr>
        <w:t xml:space="preserve">Definition and Origin</w:t>
      </w:r>
    </w:p>
    <w:p>
      <w:pPr>
        <w:spacing w:after="160" w:line="276"/>
      </w:pPr>
      <w:r>
        <w:rPr>
          <w:rFonts w:ascii="Arial" w:cs="Arial" w:eastAsia="Arial" w:hAnsi="Arial"/>
          <w:sz w:val="24"/>
          <w:szCs w:val="24"/>
        </w:rPr>
        <w:t xml:space="preserve">Edwin Locke and Gary Latham's </w:t>
      </w:r>
      <w:r>
        <w:rPr>
          <w:rFonts w:ascii="Arial" w:cs="Arial" w:eastAsia="Arial" w:hAnsi="Arial"/>
          <w:b/>
          <w:bCs/>
          <w:sz w:val="24"/>
          <w:szCs w:val="24"/>
        </w:rPr>
        <w:t xml:space="preserve">goal-setting theory</w:t>
      </w:r>
      <w:r>
        <w:rPr>
          <w:rFonts w:ascii="Arial" w:cs="Arial" w:eastAsia="Arial" w:hAnsi="Arial"/>
          <w:sz w:val="24"/>
          <w:szCs w:val="24"/>
        </w:rPr>
        <w:t xml:space="preserve"> is, by scientific standards, the crown jewel of motivation research: developed across 35 years and more than a thousand studies, summarized in their 2002 review.</w:t>
      </w:r>
      <w:r>
        <w:rPr>
          <w:rFonts w:ascii="Arial" w:cs="Arial" w:eastAsia="Arial" w:hAnsi="Arial"/>
          <w:sz w:val="24"/>
          <w:szCs w:val="24"/>
          <w:vertAlign w:val="superscript"/>
        </w:rPr>
        <w:t xml:space="preserve">12</w:t>
      </w:r>
    </w:p>
    <w:p>
      <w:pPr>
        <w:spacing w:after="100" w:before="180"/>
      </w:pPr>
      <w:r>
        <w:rPr>
          <w:rFonts w:ascii="Arial" w:cs="Arial" w:eastAsia="Arial" w:hAnsi="Arial"/>
          <w:b/>
          <w:bCs/>
          <w:i/>
          <w:iCs/>
          <w:sz w:val="24"/>
          <w:szCs w:val="24"/>
        </w:rPr>
        <w:t xml:space="preserve">What the Research Shows</w:t>
      </w:r>
    </w:p>
    <w:p>
      <w:pPr>
        <w:spacing w:after="160" w:line="276"/>
      </w:pPr>
      <w:r>
        <w:rPr>
          <w:rFonts w:ascii="Arial" w:cs="Arial" w:eastAsia="Arial" w:hAnsi="Arial"/>
          <w:sz w:val="24"/>
          <w:szCs w:val="24"/>
        </w:rPr>
        <w:t xml:space="preserve">The core findings are unusually robust: </w:t>
      </w:r>
      <w:r>
        <w:rPr>
          <w:rFonts w:ascii="Arial" w:cs="Arial" w:eastAsia="Arial" w:hAnsi="Arial"/>
          <w:b/>
          <w:bCs/>
          <w:sz w:val="24"/>
          <w:szCs w:val="24"/>
        </w:rPr>
        <w:t xml:space="preserve">specific, difficult goals</w:t>
      </w:r>
      <w:r>
        <w:rPr>
          <w:rFonts w:ascii="Arial" w:cs="Arial" w:eastAsia="Arial" w:hAnsi="Arial"/>
          <w:sz w:val="24"/>
          <w:szCs w:val="24"/>
        </w:rPr>
        <w:t xml:space="preserve"> produce higher performance than easy goals, vague goals, or "do your best" — reliably, across tasks, countries, and settings — provided three conditions hold: the person is </w:t>
      </w:r>
      <w:r>
        <w:rPr>
          <w:rFonts w:ascii="Arial" w:cs="Arial" w:eastAsia="Arial" w:hAnsi="Arial"/>
          <w:b/>
          <w:bCs/>
          <w:sz w:val="24"/>
          <w:szCs w:val="24"/>
        </w:rPr>
        <w:t xml:space="preserve">committed</w:t>
      </w:r>
      <w:r>
        <w:rPr>
          <w:rFonts w:ascii="Arial" w:cs="Arial" w:eastAsia="Arial" w:hAnsi="Arial"/>
          <w:sz w:val="24"/>
          <w:szCs w:val="24"/>
        </w:rPr>
        <w:t xml:space="preserve"> to the goal, has the </w:t>
      </w:r>
      <w:r>
        <w:rPr>
          <w:rFonts w:ascii="Arial" w:cs="Arial" w:eastAsia="Arial" w:hAnsi="Arial"/>
          <w:b/>
          <w:bCs/>
          <w:sz w:val="24"/>
          <w:szCs w:val="24"/>
        </w:rPr>
        <w:t xml:space="preserve">ability and resources</w:t>
      </w:r>
      <w:r>
        <w:rPr>
          <w:rFonts w:ascii="Arial" w:cs="Arial" w:eastAsia="Arial" w:hAnsi="Arial"/>
          <w:sz w:val="24"/>
          <w:szCs w:val="24"/>
        </w:rPr>
        <w:t xml:space="preserve"> to reach it, and receives </w:t>
      </w:r>
      <w:r>
        <w:rPr>
          <w:rFonts w:ascii="Arial" w:cs="Arial" w:eastAsia="Arial" w:hAnsi="Arial"/>
          <w:b/>
          <w:bCs/>
          <w:sz w:val="24"/>
          <w:szCs w:val="24"/>
        </w:rPr>
        <w:t xml:space="preserve">feedback</w:t>
      </w:r>
      <w:r>
        <w:rPr>
          <w:rFonts w:ascii="Arial" w:cs="Arial" w:eastAsia="Arial" w:hAnsi="Arial"/>
          <w:sz w:val="24"/>
          <w:szCs w:val="24"/>
        </w:rPr>
        <w:t xml:space="preserve"> on progress.</w:t>
      </w:r>
      <w:r>
        <w:rPr>
          <w:rFonts w:ascii="Arial" w:cs="Arial" w:eastAsia="Arial" w:hAnsi="Arial"/>
          <w:sz w:val="24"/>
          <w:szCs w:val="24"/>
          <w:vertAlign w:val="superscript"/>
        </w:rPr>
        <w:t xml:space="preserve">12</w:t>
      </w:r>
      <w:r>
        <w:rPr>
          <w:rFonts w:ascii="Arial" w:cs="Arial" w:eastAsia="Arial" w:hAnsi="Arial"/>
          <w:sz w:val="24"/>
          <w:szCs w:val="24"/>
        </w:rPr>
        <w:t xml:space="preserve"> Goals work through four mechanisms: they direct attention, energize effort, increase persistence, and trigger strategy development. Money strengthens goals mainly by strengthening commitment.</w:t>
      </w:r>
    </w:p>
    <w:p>
      <w:pPr>
        <w:spacing w:after="100" w:before="180"/>
      </w:pPr>
      <w:r>
        <w:rPr>
          <w:rFonts w:ascii="Arial" w:cs="Arial" w:eastAsia="Arial" w:hAnsi="Arial"/>
          <w:b/>
          <w:bCs/>
          <w:i/>
          <w:iCs/>
          <w:sz w:val="24"/>
          <w:szCs w:val="24"/>
        </w:rPr>
        <w:t xml:space="preserve">Where It Breaks Down</w:t>
      </w:r>
    </w:p>
    <w:p>
      <w:pPr>
        <w:spacing w:after="160" w:line="276"/>
      </w:pPr>
      <w:r>
        <w:rPr>
          <w:rFonts w:ascii="Arial" w:cs="Arial" w:eastAsia="Arial" w:hAnsi="Arial"/>
          <w:sz w:val="24"/>
          <w:szCs w:val="24"/>
        </w:rPr>
        <w:t xml:space="preserve">The same properties that make goals powerful make them dangerous, a case assembled in Ordóñez, Schweitzer, Galinsky, and Bazerman's pointed review "Goals Gone Wild": specific, difficult goals narrow attention (what isn't in the goal stops existing — including ethics), encourage risk-taking, and, when tied to identity or survival, invite cheating rather than quitting.</w:t>
      </w:r>
      <w:r>
        <w:rPr>
          <w:rFonts w:ascii="Arial" w:cs="Arial" w:eastAsia="Arial" w:hAnsi="Arial"/>
          <w:sz w:val="24"/>
          <w:szCs w:val="24"/>
          <w:vertAlign w:val="superscript"/>
        </w:rPr>
        <w:t xml:space="preserve">13</w:t>
      </w:r>
      <w:r>
        <w:rPr>
          <w:rFonts w:ascii="Arial" w:cs="Arial" w:eastAsia="Arial" w:hAnsi="Arial"/>
          <w:sz w:val="24"/>
          <w:szCs w:val="24"/>
        </w:rPr>
        <w:t xml:space="preserve"> Their prescription is not to abandon goals but to handle them like prescription medication: right dose, monitored side effects. Wells Fargo is now the standard case study of the overdose — stretch sales goals, high-powered incentives, feedback several times a day, and no countervailing goal for integrity.</w:t>
      </w:r>
      <w:r>
        <w:rPr>
          <w:rFonts w:ascii="Arial" w:cs="Arial" w:eastAsia="Arial" w:hAnsi="Arial"/>
          <w:sz w:val="24"/>
          <w:szCs w:val="24"/>
          <w:vertAlign w:val="superscript"/>
        </w:rPr>
        <w:t xml:space="preserve">1</w:t>
      </w:r>
      <w:r>
        <w:rPr>
          <w:rFonts w:ascii="Arial" w:cs="Arial" w:eastAsia="Arial" w:hAnsi="Arial"/>
          <w:sz w:val="24"/>
          <w:szCs w:val="24"/>
          <w:vertAlign w:val="superscript"/>
        </w:rPr>
        <w:t xml:space="preserve">13</w:t>
      </w:r>
    </w:p>
    <w:p>
      <w:pPr>
        <w:spacing w:after="120" w:before="240"/>
      </w:pPr>
      <w:r>
        <w:rPr>
          <w:rFonts w:ascii="Arial" w:cs="Arial" w:eastAsia="Arial" w:hAnsi="Arial"/>
          <w:b/>
          <w:bCs/>
          <w:sz w:val="28"/>
          <w:szCs w:val="28"/>
        </w:rPr>
        <w:t xml:space="preserve">2.5  Intrinsic Motivation and Self-Determination Theory</w:t>
      </w:r>
    </w:p>
    <w:p>
      <w:pPr>
        <w:spacing w:after="100" w:before="180"/>
      </w:pPr>
      <w:r>
        <w:rPr>
          <w:rFonts w:ascii="Arial" w:cs="Arial" w:eastAsia="Arial" w:hAnsi="Arial"/>
          <w:b/>
          <w:bCs/>
          <w:i/>
          <w:iCs/>
          <w:sz w:val="24"/>
          <w:szCs w:val="24"/>
        </w:rPr>
        <w:t xml:space="preserve">Definition and Origin</w:t>
      </w:r>
    </w:p>
    <w:p>
      <w:pPr>
        <w:spacing w:after="160" w:line="276"/>
      </w:pPr>
      <w:r>
        <w:rPr>
          <w:rFonts w:ascii="Arial" w:cs="Arial" w:eastAsia="Arial" w:hAnsi="Arial"/>
          <w:b/>
          <w:bCs/>
          <w:sz w:val="24"/>
          <w:szCs w:val="24"/>
        </w:rPr>
        <w:t xml:space="preserve">Intrinsic motivation</w:t>
      </w:r>
      <w:r>
        <w:rPr>
          <w:rFonts w:ascii="Arial" w:cs="Arial" w:eastAsia="Arial" w:hAnsi="Arial"/>
          <w:sz w:val="24"/>
          <w:szCs w:val="24"/>
        </w:rPr>
        <w:t xml:space="preserve"> is doing an activity for its inherent interest and satisfaction; </w:t>
      </w:r>
      <w:r>
        <w:rPr>
          <w:rFonts w:ascii="Arial" w:cs="Arial" w:eastAsia="Arial" w:hAnsi="Arial"/>
          <w:b/>
          <w:bCs/>
          <w:sz w:val="24"/>
          <w:szCs w:val="24"/>
        </w:rPr>
        <w:t xml:space="preserve">extrinsic motivation</w:t>
      </w:r>
      <w:r>
        <w:rPr>
          <w:rFonts w:ascii="Arial" w:cs="Arial" w:eastAsia="Arial" w:hAnsi="Arial"/>
          <w:sz w:val="24"/>
          <w:szCs w:val="24"/>
        </w:rPr>
        <w:t xml:space="preserve"> is doing it for separable consequences. Edward Deci and Richard Ryan's </w:t>
      </w:r>
      <w:r>
        <w:rPr>
          <w:rFonts w:ascii="Arial" w:cs="Arial" w:eastAsia="Arial" w:hAnsi="Arial"/>
          <w:b/>
          <w:bCs/>
          <w:sz w:val="24"/>
          <w:szCs w:val="24"/>
        </w:rPr>
        <w:t xml:space="preserve">self-determination theory</w:t>
      </w:r>
      <w:r>
        <w:rPr>
          <w:rFonts w:ascii="Arial" w:cs="Arial" w:eastAsia="Arial" w:hAnsi="Arial"/>
          <w:sz w:val="24"/>
          <w:szCs w:val="24"/>
        </w:rPr>
        <w:t xml:space="preserve"> (SDT) holds that intrinsic motivation flourishes when work satisfies three basic psychological needs — </w:t>
      </w:r>
      <w:r>
        <w:rPr>
          <w:rFonts w:ascii="Arial" w:cs="Arial" w:eastAsia="Arial" w:hAnsi="Arial"/>
          <w:b/>
          <w:bCs/>
          <w:sz w:val="24"/>
          <w:szCs w:val="24"/>
        </w:rPr>
        <w:t xml:space="preserve">autonomy</w:t>
      </w:r>
      <w:r>
        <w:rPr>
          <w:rFonts w:ascii="Arial" w:cs="Arial" w:eastAsia="Arial" w:hAnsi="Arial"/>
          <w:sz w:val="24"/>
          <w:szCs w:val="24"/>
        </w:rPr>
        <w:t xml:space="preserve"> (volition), </w:t>
      </w:r>
      <w:r>
        <w:rPr>
          <w:rFonts w:ascii="Arial" w:cs="Arial" w:eastAsia="Arial" w:hAnsi="Arial"/>
          <w:b/>
          <w:bCs/>
          <w:sz w:val="24"/>
          <w:szCs w:val="24"/>
        </w:rPr>
        <w:t xml:space="preserve">competence</w:t>
      </w:r>
      <w:r>
        <w:rPr>
          <w:rFonts w:ascii="Arial" w:cs="Arial" w:eastAsia="Arial" w:hAnsi="Arial"/>
          <w:sz w:val="24"/>
          <w:szCs w:val="24"/>
        </w:rPr>
        <w:t xml:space="preserve"> (mastery), and </w:t>
      </w:r>
      <w:r>
        <w:rPr>
          <w:rFonts w:ascii="Arial" w:cs="Arial" w:eastAsia="Arial" w:hAnsi="Arial"/>
          <w:b/>
          <w:bCs/>
          <w:sz w:val="24"/>
          <w:szCs w:val="24"/>
        </w:rPr>
        <w:t xml:space="preserve">relatedness</w:t>
      </w:r>
      <w:r>
        <w:rPr>
          <w:rFonts w:ascii="Arial" w:cs="Arial" w:eastAsia="Arial" w:hAnsi="Arial"/>
          <w:sz w:val="24"/>
          <w:szCs w:val="24"/>
        </w:rPr>
        <w:t xml:space="preserve"> (connection) — and withers when environments control rather than support.</w:t>
      </w:r>
      <w:r>
        <w:rPr>
          <w:rFonts w:ascii="Arial" w:cs="Arial" w:eastAsia="Arial" w:hAnsi="Arial"/>
          <w:sz w:val="24"/>
          <w:szCs w:val="24"/>
          <w:vertAlign w:val="superscript"/>
        </w:rPr>
        <w:t xml:space="preserve">15</w:t>
      </w:r>
    </w:p>
    <w:p>
      <w:pPr>
        <w:spacing w:after="100" w:before="180"/>
      </w:pPr>
      <w:r>
        <w:rPr>
          <w:rFonts w:ascii="Arial" w:cs="Arial" w:eastAsia="Arial" w:hAnsi="Arial"/>
          <w:b/>
          <w:bCs/>
          <w:i/>
          <w:iCs/>
          <w:sz w:val="24"/>
          <w:szCs w:val="24"/>
        </w:rPr>
        <w:t xml:space="preserve">What the Research Shows</w:t>
      </w:r>
    </w:p>
    <w:p>
      <w:pPr>
        <w:spacing w:after="160" w:line="276"/>
      </w:pPr>
      <w:r>
        <w:rPr>
          <w:rFonts w:ascii="Arial" w:cs="Arial" w:eastAsia="Arial" w:hAnsi="Arial"/>
          <w:sz w:val="24"/>
          <w:szCs w:val="24"/>
        </w:rPr>
        <w:t xml:space="preserve">The famous battleground is the </w:t>
      </w:r>
      <w:r>
        <w:rPr>
          <w:rFonts w:ascii="Arial" w:cs="Arial" w:eastAsia="Arial" w:hAnsi="Arial"/>
          <w:b/>
          <w:bCs/>
          <w:sz w:val="24"/>
          <w:szCs w:val="24"/>
        </w:rPr>
        <w:t xml:space="preserve">undermining effect</w:t>
      </w:r>
      <w:r>
        <w:rPr>
          <w:rFonts w:ascii="Arial" w:cs="Arial" w:eastAsia="Arial" w:hAnsi="Arial"/>
          <w:sz w:val="24"/>
          <w:szCs w:val="24"/>
        </w:rPr>
        <w:t xml:space="preserve">: Deci, Koestner, and Ryan's 1999 meta-analysis of 128 experiments found that tangible rewards made contingent on doing an interesting task reliably reduced subsequent free-choice interest in it — pay can, under specific conditions, crowd out the motivation it targets.</w:t>
      </w:r>
      <w:r>
        <w:rPr>
          <w:rFonts w:ascii="Arial" w:cs="Arial" w:eastAsia="Arial" w:hAnsi="Arial"/>
          <w:sz w:val="24"/>
          <w:szCs w:val="24"/>
          <w:vertAlign w:val="superscript"/>
        </w:rPr>
        <w:t xml:space="preserve">14</w:t>
      </w:r>
      <w:r>
        <w:rPr>
          <w:rFonts w:ascii="Arial" w:cs="Arial" w:eastAsia="Arial" w:hAnsi="Arial"/>
          <w:sz w:val="24"/>
          <w:szCs w:val="24"/>
        </w:rPr>
        <w:t xml:space="preserve"> The most current synthesis softens the war into a settlement: Cerasoli, Nicklin, and Ford's 40-year meta-analysis (183 studies, 212,000+ people) found that intrinsic motivation is a medium-to-strong predictor of performance (correlations roughly .21–.45) </w:t>
      </w:r>
      <w:r>
        <w:rPr>
          <w:rFonts w:ascii="Arial" w:cs="Arial" w:eastAsia="Arial" w:hAnsi="Arial"/>
          <w:b/>
          <w:bCs/>
          <w:sz w:val="24"/>
          <w:szCs w:val="24"/>
        </w:rPr>
        <w:t xml:space="preserve">whether or not incentives are present</w:t>
      </w:r>
      <w:r>
        <w:rPr>
          <w:rFonts w:ascii="Arial" w:cs="Arial" w:eastAsia="Arial" w:hAnsi="Arial"/>
          <w:sz w:val="24"/>
          <w:szCs w:val="24"/>
        </w:rPr>
        <w:t xml:space="preserve">; incentives matter too, but they crowd out intrinsic motivation's predictive power mainly when they are directly and saliently tied to output — and intrinsic motivation predicts </w:t>
      </w:r>
      <w:r>
        <w:rPr>
          <w:rFonts w:ascii="Arial" w:cs="Arial" w:eastAsia="Arial" w:hAnsi="Arial"/>
          <w:b/>
          <w:bCs/>
          <w:sz w:val="24"/>
          <w:szCs w:val="24"/>
        </w:rPr>
        <w:t xml:space="preserve">quality</w:t>
      </w:r>
      <w:r>
        <w:rPr>
          <w:rFonts w:ascii="Arial" w:cs="Arial" w:eastAsia="Arial" w:hAnsi="Arial"/>
          <w:sz w:val="24"/>
          <w:szCs w:val="24"/>
        </w:rPr>
        <w:t xml:space="preserve"> of performance better, while incentives predict </w:t>
      </w:r>
      <w:r>
        <w:rPr>
          <w:rFonts w:ascii="Arial" w:cs="Arial" w:eastAsia="Arial" w:hAnsi="Arial"/>
          <w:b/>
          <w:bCs/>
          <w:sz w:val="24"/>
          <w:szCs w:val="24"/>
        </w:rPr>
        <w:t xml:space="preserve">quantity</w:t>
      </w:r>
      <w:r>
        <w:rPr>
          <w:rFonts w:ascii="Arial" w:cs="Arial" w:eastAsia="Arial" w:hAnsi="Arial"/>
          <w:sz w:val="24"/>
          <w:szCs w:val="24"/>
        </w:rPr>
        <w:t xml:space="preserve"> better.</w:t>
      </w:r>
      <w:r>
        <w:rPr>
          <w:rFonts w:ascii="Arial" w:cs="Arial" w:eastAsia="Arial" w:hAnsi="Arial"/>
          <w:sz w:val="24"/>
          <w:szCs w:val="24"/>
          <w:vertAlign w:val="superscript"/>
        </w:rPr>
        <w:t xml:space="preserve">16</w:t>
      </w:r>
      <w:r>
        <w:rPr>
          <w:rFonts w:ascii="Arial" w:cs="Arial" w:eastAsia="Arial" w:hAnsi="Arial"/>
          <w:sz w:val="24"/>
          <w:szCs w:val="24"/>
        </w:rPr>
        <w:t xml:space="preserve"> Both motivations are real; they specialize.</w:t>
      </w:r>
    </w:p>
    <w:p>
      <w:pPr>
        <w:spacing w:after="100" w:before="180"/>
      </w:pPr>
      <w:r>
        <w:rPr>
          <w:rFonts w:ascii="Arial" w:cs="Arial" w:eastAsia="Arial" w:hAnsi="Arial"/>
          <w:b/>
          <w:bCs/>
          <w:i/>
          <w:iCs/>
          <w:sz w:val="24"/>
          <w:szCs w:val="24"/>
        </w:rPr>
        <w:t xml:space="preserve">Why It Matters and Where It Breaks Down</w:t>
      </w:r>
    </w:p>
    <w:p>
      <w:pPr>
        <w:spacing w:after="160" w:line="276"/>
      </w:pPr>
      <w:r>
        <w:rPr>
          <w:rFonts w:ascii="Arial" w:cs="Arial" w:eastAsia="Arial" w:hAnsi="Arial"/>
          <w:sz w:val="24"/>
          <w:szCs w:val="24"/>
        </w:rPr>
        <w:t xml:space="preserve">The design implication is precise: for routine, countable work, performance-contingent pay is effective; for creative, complex, quality-sensitive work, heavy-handed contingent rewards are at best inert and at worst corrosive, and the leverage lies in autonomy, mastery, and purpose. Cautions: much undermining evidence comes from laboratory tasks that were interesting to begin with (you cannot crowd out intrinsic motivation for work that has none), and SDT's needs are easier to invoke than to measure. No serious reading of this literature concludes that pay doesn't matter — it concludes that pay is necessary, hygiene-like, and insufficient.</w:t>
      </w:r>
    </w:p>
    <w:p>
      <w:pPr>
        <w:spacing w:after="120" w:before="240"/>
      </w:pPr>
      <w:r>
        <w:rPr>
          <w:rFonts w:ascii="Arial" w:cs="Arial" w:eastAsia="Arial" w:hAnsi="Arial"/>
          <w:b/>
          <w:bCs/>
          <w:sz w:val="28"/>
          <w:szCs w:val="28"/>
        </w:rPr>
        <w:t xml:space="preserve">2.6  What Money Actually Buys</w:t>
      </w:r>
    </w:p>
    <w:p>
      <w:pPr>
        <w:spacing w:after="100" w:before="180"/>
      </w:pPr>
      <w:r>
        <w:rPr>
          <w:rFonts w:ascii="Arial" w:cs="Arial" w:eastAsia="Arial" w:hAnsi="Arial"/>
          <w:b/>
          <w:bCs/>
          <w:i/>
          <w:iCs/>
          <w:sz w:val="24"/>
          <w:szCs w:val="24"/>
        </w:rPr>
        <w:t xml:space="preserve">What the Research Shows, Why It Matters, and Where It Breaks Down</w:t>
      </w:r>
    </w:p>
    <w:p>
      <w:pPr>
        <w:spacing w:after="160" w:line="276"/>
      </w:pPr>
      <w:r>
        <w:rPr>
          <w:rFonts w:ascii="Arial" w:cs="Arial" w:eastAsia="Arial" w:hAnsi="Arial"/>
          <w:sz w:val="24"/>
          <w:szCs w:val="24"/>
        </w:rPr>
        <w:t xml:space="preserve">Assemble the pieces and a consistent picture of pay emerges. Pay level correlates surprisingly weakly with pay </w:t>
      </w:r>
      <w:r>
        <w:rPr>
          <w:rFonts w:ascii="Arial" w:cs="Arial" w:eastAsia="Arial" w:hAnsi="Arial"/>
          <w:b/>
          <w:bCs/>
          <w:sz w:val="24"/>
          <w:szCs w:val="24"/>
        </w:rPr>
        <w:t xml:space="preserve">satisfaction</w:t>
      </w:r>
      <w:r>
        <w:rPr>
          <w:rFonts w:ascii="Arial" w:cs="Arial" w:eastAsia="Arial" w:hAnsi="Arial"/>
          <w:sz w:val="24"/>
          <w:szCs w:val="24"/>
        </w:rPr>
        <w:t xml:space="preserve"> and job satisfaction — meta-analytic estimates put the relationship near r = .15, implying that how much people earn explains only a small slice of how they feel about their jobs, largely because equity comparisons and expectations adjust.</w:t>
      </w:r>
      <w:r>
        <w:rPr>
          <w:rFonts w:ascii="Arial" w:cs="Arial" w:eastAsia="Arial" w:hAnsi="Arial"/>
          <w:sz w:val="24"/>
          <w:szCs w:val="24"/>
          <w:vertAlign w:val="superscript"/>
        </w:rPr>
        <w:t xml:space="preserve">17</w:t>
      </w:r>
      <w:r>
        <w:rPr>
          <w:rFonts w:ascii="Arial" w:cs="Arial" w:eastAsia="Arial" w:hAnsi="Arial"/>
          <w:sz w:val="24"/>
          <w:szCs w:val="24"/>
        </w:rPr>
        <w:t xml:space="preserve"> Pay </w:t>
      </w:r>
      <w:r>
        <w:rPr>
          <w:rFonts w:ascii="Arial" w:cs="Arial" w:eastAsia="Arial" w:hAnsi="Arial"/>
          <w:b/>
          <w:bCs/>
          <w:sz w:val="24"/>
          <w:szCs w:val="24"/>
        </w:rPr>
        <w:t xml:space="preserve">contingency</w:t>
      </w:r>
      <w:r>
        <w:rPr>
          <w:rFonts w:ascii="Arial" w:cs="Arial" w:eastAsia="Arial" w:hAnsi="Arial"/>
          <w:sz w:val="24"/>
          <w:szCs w:val="24"/>
        </w:rPr>
        <w:t xml:space="preserve"> — how tightly money tracks measured output — is the active ingredient, for good and ill: it reliably raises output on measurable tasks (goal-setting, expectancy) and just as reliably narrows attention to what is measured (Goals Gone Wild, undermining). Money also carries </w:t>
      </w:r>
      <w:r>
        <w:rPr>
          <w:rFonts w:ascii="Arial" w:cs="Arial" w:eastAsia="Arial" w:hAnsi="Arial"/>
          <w:b/>
          <w:bCs/>
          <w:sz w:val="24"/>
          <w:szCs w:val="24"/>
        </w:rPr>
        <w:t xml:space="preserve">symbolic</w:t>
      </w:r>
      <w:r>
        <w:rPr>
          <w:rFonts w:ascii="Arial" w:cs="Arial" w:eastAsia="Arial" w:hAnsi="Arial"/>
          <w:sz w:val="24"/>
          <w:szCs w:val="24"/>
        </w:rPr>
        <w:t xml:space="preserve"> payloads the theories predict: a raise is simultaneously income (valence), a fairness verdict (equity), and a competence signal (SDT) — which is why identical dollar amounts can motivate, insult, or corrupt depending on framing. The open frontier is measurement technology: as software makes more work countable in real time, organizations face a standing temptation to wire pay to metrics — importing Wells Fargo's failure mode into knowledge work. The evidence base here is broad but observational at the level that matters most (few firms randomize their compensation systems), so firm-level claims deserve more caution than the lab-level ones.</w:t>
      </w:r>
    </w:p>
    <w:p>
      <w:r>
        <w:br w:type="page"/>
      </w:r>
    </w:p>
    <w:p>
      <w:pPr>
        <w:shd w:fill="D9D9D9" w:val="clear"/>
        <w:spacing w:after="240" w:before="240"/>
      </w:pPr>
      <w:r>
        <w:rPr>
          <w:rFonts w:ascii="Arial" w:cs="Arial" w:eastAsia="Arial" w:hAnsi="Arial"/>
          <w:b/>
          <w:bCs/>
          <w:sz w:val="32"/>
          <w:szCs w:val="32"/>
        </w:rPr>
        <w:t xml:space="preserve">Part 3: Comparative Case Study — Wells Fargo and Patagonia</w:t>
      </w:r>
    </w:p>
    <w:p>
      <w:pPr>
        <w:spacing w:after="100" w:before="180"/>
      </w:pPr>
      <w:r>
        <w:rPr>
          <w:rFonts w:ascii="Arial" w:cs="Arial" w:eastAsia="Arial" w:hAnsi="Arial"/>
          <w:b/>
          <w:bCs/>
          <w:i/>
          <w:iCs/>
          <w:sz w:val="24"/>
          <w:szCs w:val="24"/>
        </w:rPr>
        <w:t xml:space="preserve">Setup</w:t>
      </w:r>
    </w:p>
    <w:p>
      <w:pPr>
        <w:spacing w:after="160" w:line="276"/>
      </w:pPr>
      <w:r>
        <w:rPr>
          <w:rFonts w:ascii="Arial" w:cs="Arial" w:eastAsia="Arial" w:hAnsi="Arial"/>
          <w:sz w:val="24"/>
          <w:szCs w:val="24"/>
        </w:rPr>
        <w:t xml:space="preserve">These two cases sit at the opposite ends of the design space this chapter maps. Wells Fargo built the strongest extrinsic system American retail banking had seen; Patagonia built a system in which the ultimate extrinsic payoff — enrichment through ownership — was deliberately destroyed. Goal-setting theory and expectancy theory make their cleanest predictions about the first; self-determination theory makes its cleanest predictions about the second. Neither case, read honestly, lets its favored theory off easy.</w:t>
      </w:r>
    </w:p>
    <w:p>
      <w:pPr>
        <w:spacing w:after="100" w:before="180"/>
      </w:pPr>
      <w:r>
        <w:rPr>
          <w:rFonts w:ascii="Arial" w:cs="Arial" w:eastAsia="Arial" w:hAnsi="Arial"/>
          <w:b/>
          <w:bCs/>
          <w:i/>
          <w:iCs/>
          <w:sz w:val="24"/>
          <w:szCs w:val="24"/>
        </w:rPr>
        <w:t xml:space="preserve">Case A: Wells Fargo — The Incentive Machine That Worked Too Well</w:t>
      </w:r>
    </w:p>
    <w:p>
      <w:pPr>
        <w:spacing w:after="160" w:line="276"/>
      </w:pPr>
      <w:r>
        <w:rPr>
          <w:rFonts w:ascii="Arial" w:cs="Arial" w:eastAsia="Arial" w:hAnsi="Arial"/>
          <w:sz w:val="24"/>
          <w:szCs w:val="24"/>
        </w:rPr>
        <w:t xml:space="preserve">The facts: over roughly 2002–2016, Wells Fargo's Community Bank — then the source of more than half the company's revenue — ran an aggressive cross-selling regime with daily sales quotas backed by compensation, promotion, and termination.</w:t>
      </w:r>
      <w:r>
        <w:rPr>
          <w:rFonts w:ascii="Arial" w:cs="Arial" w:eastAsia="Arial" w:hAnsi="Arial"/>
          <w:sz w:val="24"/>
          <w:szCs w:val="24"/>
          <w:vertAlign w:val="superscript"/>
        </w:rPr>
        <w:t xml:space="preserve">1</w:t>
      </w:r>
      <w:r>
        <w:rPr>
          <w:rFonts w:ascii="Arial" w:cs="Arial" w:eastAsia="Arial" w:hAnsi="Arial"/>
          <w:sz w:val="24"/>
          <w:szCs w:val="24"/>
        </w:rPr>
        <w:t xml:space="preserve"> Under that pressure, employees opened approximately 3.5 million accounts and products without customer authorization, forging signatures, creating PINs for unissued debit cards, moving customer money into unauthorized accounts ("simulated funding"), and altering contact information so customers would not learn what had been done.</w:t>
      </w:r>
      <w:r>
        <w:rPr>
          <w:rFonts w:ascii="Arial" w:cs="Arial" w:eastAsia="Arial" w:hAnsi="Arial"/>
          <w:sz w:val="24"/>
          <w:szCs w:val="24"/>
          <w:vertAlign w:val="superscript"/>
        </w:rPr>
        <w:t xml:space="preserve">2</w:t>
      </w:r>
      <w:r>
        <w:rPr>
          <w:rFonts w:ascii="Arial" w:cs="Arial" w:eastAsia="Arial" w:hAnsi="Arial"/>
          <w:sz w:val="24"/>
          <w:szCs w:val="24"/>
          <w:vertAlign w:val="superscript"/>
        </w:rPr>
        <w:t xml:space="preserve">3</w:t>
      </w:r>
      <w:r>
        <w:rPr>
          <w:rFonts w:ascii="Arial" w:cs="Arial" w:eastAsia="Arial" w:hAnsi="Arial"/>
          <w:sz w:val="24"/>
          <w:szCs w:val="24"/>
        </w:rPr>
        <w:t xml:space="preserve"> Employees who reported that the goals were unrealistic were disregarded; senior management, by the government's account, turned a blind eye.</w:t>
      </w:r>
      <w:r>
        <w:rPr>
          <w:rFonts w:ascii="Arial" w:cs="Arial" w:eastAsia="Arial" w:hAnsi="Arial"/>
          <w:sz w:val="24"/>
          <w:szCs w:val="24"/>
          <w:vertAlign w:val="superscript"/>
        </w:rPr>
        <w:t xml:space="preserve">2</w:t>
      </w:r>
      <w:r>
        <w:rPr>
          <w:rFonts w:ascii="Arial" w:cs="Arial" w:eastAsia="Arial" w:hAnsi="Arial"/>
          <w:sz w:val="24"/>
          <w:szCs w:val="24"/>
        </w:rPr>
        <w:t xml:space="preserve"> The bill: a $3 billion criminal and civil settlement in 2020,</w:t>
      </w:r>
      <w:r>
        <w:rPr>
          <w:rFonts w:ascii="Arial" w:cs="Arial" w:eastAsia="Arial" w:hAnsi="Arial"/>
          <w:sz w:val="24"/>
          <w:szCs w:val="24"/>
          <w:vertAlign w:val="superscript"/>
        </w:rPr>
        <w:t xml:space="preserve">1</w:t>
      </w:r>
      <w:r>
        <w:rPr>
          <w:rFonts w:ascii="Arial" w:cs="Arial" w:eastAsia="Arial" w:hAnsi="Arial"/>
          <w:sz w:val="24"/>
          <w:szCs w:val="24"/>
        </w:rPr>
        <w:t xml:space="preserve"> an unprecedented Federal Reserve asset cap from 2018 to June 2025,</w:t>
      </w:r>
      <w:r>
        <w:rPr>
          <w:rFonts w:ascii="Arial" w:cs="Arial" w:eastAsia="Arial" w:hAnsi="Arial"/>
          <w:sz w:val="24"/>
          <w:szCs w:val="24"/>
          <w:vertAlign w:val="superscript"/>
        </w:rPr>
        <w:t xml:space="preserve">3</w:t>
      </w:r>
      <w:r>
        <w:rPr>
          <w:rFonts w:ascii="Arial" w:cs="Arial" w:eastAsia="Arial" w:hAnsi="Arial"/>
          <w:sz w:val="24"/>
          <w:szCs w:val="24"/>
        </w:rPr>
        <w:t xml:space="preserve"> roughly a decade of remediation, CEO turnover, and a franchise-defining reputational wound — closed out only in March 2026, when the Fed terminated the last of its enforcement action.</w:t>
      </w:r>
      <w:r>
        <w:rPr>
          <w:rFonts w:ascii="Arial" w:cs="Arial" w:eastAsia="Arial" w:hAnsi="Arial"/>
          <w:sz w:val="24"/>
          <w:szCs w:val="24"/>
          <w:vertAlign w:val="superscript"/>
        </w:rPr>
        <w:t xml:space="preserve">4</w:t>
      </w:r>
    </w:p>
    <w:p>
      <w:pPr>
        <w:spacing w:after="160" w:line="276"/>
      </w:pPr>
      <w:r>
        <w:rPr>
          <w:rFonts w:ascii="Arial" w:cs="Arial" w:eastAsia="Arial" w:hAnsi="Arial"/>
          <w:sz w:val="24"/>
          <w:szCs w:val="24"/>
        </w:rPr>
        <w:t xml:space="preserve">As a theory test: every motivation theory in this chapter saw its prediction confirmed — that is what makes the case canonical. Goal-setting: specific, difficult goals directed attention and energized effort, and the narrowing effect excluded ethics precisely as Goals Gone Wild warns.</w:t>
      </w:r>
      <w:r>
        <w:rPr>
          <w:rFonts w:ascii="Arial" w:cs="Arial" w:eastAsia="Arial" w:hAnsi="Arial"/>
          <w:sz w:val="24"/>
          <w:szCs w:val="24"/>
          <w:vertAlign w:val="superscript"/>
        </w:rPr>
        <w:t xml:space="preserve">13</w:t>
      </w:r>
      <w:r>
        <w:rPr>
          <w:rFonts w:ascii="Arial" w:cs="Arial" w:eastAsia="Arial" w:hAnsi="Arial"/>
          <w:sz w:val="24"/>
          <w:szCs w:val="24"/>
        </w:rPr>
        <w:t xml:space="preserve"> Expectancy: with honest expectancy near zero and instrumentality lethal, fraud was the rational restoration of the effort–reward link. Equity: front-line workers watched executives collect bonuses on revenue the workers manufactured under threat — a procedural and distributive injustice that surfaced in complaints management ignored.</w:t>
      </w:r>
      <w:r>
        <w:rPr>
          <w:rFonts w:ascii="Arial" w:cs="Arial" w:eastAsia="Arial" w:hAnsi="Arial"/>
          <w:sz w:val="24"/>
          <w:szCs w:val="24"/>
          <w:vertAlign w:val="superscript"/>
        </w:rPr>
        <w:t xml:space="preserve">2</w:t>
      </w:r>
      <w:r>
        <w:rPr>
          <w:rFonts w:ascii="Arial" w:cs="Arial" w:eastAsia="Arial" w:hAnsi="Arial"/>
          <w:sz w:val="24"/>
          <w:szCs w:val="24"/>
        </w:rPr>
        <w:t xml:space="preserve"> SDT: the system was maximally controlling, and controlled motivation produces compliance with the letter of the metric, never its spirit. The counterfactual matters too: thousands of banks use sales goals without mass fraud. The differentiators at Wells Fargo were goal impossibility, punishment intensity, and the absence of any counterweighted integrity goal — dosage, not the existence of goals.</w:t>
      </w:r>
    </w:p>
    <w:p>
      <w:pPr>
        <w:spacing w:after="100" w:before="180"/>
      </w:pPr>
      <w:r>
        <w:rPr>
          <w:rFonts w:ascii="Arial" w:cs="Arial" w:eastAsia="Arial" w:hAnsi="Arial"/>
          <w:b/>
          <w:bCs/>
          <w:i/>
          <w:iCs/>
          <w:sz w:val="24"/>
          <w:szCs w:val="24"/>
        </w:rPr>
        <w:t xml:space="preserve">Case B: Patagonia — Removing the Prize</w:t>
      </w:r>
    </w:p>
    <w:p>
      <w:pPr>
        <w:spacing w:after="160" w:line="276"/>
      </w:pPr>
      <w:r>
        <w:rPr>
          <w:rFonts w:ascii="Arial" w:cs="Arial" w:eastAsia="Arial" w:hAnsi="Arial"/>
          <w:sz w:val="24"/>
          <w:szCs w:val="24"/>
        </w:rPr>
        <w:t xml:space="preserve">The facts: on September 14, 2022, the Chouinard family transferred 100 percent of Patagonia — valued at about $3 billion — into two entities: the Patagonia Purpose Trust (2 percent of shares, all voting stock, existing to lock the company's values in place) and the Holdfast Collective, a 501(c)(4) nonprofit holding 98 percent, which receives every dollar of profit not reinvested — a projected ~$100 million per year — to fight the climate crisis.</w:t>
      </w:r>
      <w:r>
        <w:rPr>
          <w:rFonts w:ascii="Arial" w:cs="Arial" w:eastAsia="Arial" w:hAnsi="Arial"/>
          <w:sz w:val="24"/>
          <w:szCs w:val="24"/>
          <w:vertAlign w:val="superscript"/>
        </w:rPr>
        <w:t xml:space="preserve">5</w:t>
      </w:r>
      <w:r>
        <w:rPr>
          <w:rFonts w:ascii="Arial" w:cs="Arial" w:eastAsia="Arial" w:hAnsi="Arial"/>
          <w:sz w:val="24"/>
          <w:szCs w:val="24"/>
          <w:vertAlign w:val="superscript"/>
        </w:rPr>
        <w:t xml:space="preserve">6</w:t>
      </w:r>
      <w:r>
        <w:rPr>
          <w:rFonts w:ascii="Arial" w:cs="Arial" w:eastAsia="Arial" w:hAnsi="Arial"/>
          <w:sz w:val="24"/>
          <w:szCs w:val="24"/>
          <w:vertAlign w:val="superscript"/>
        </w:rPr>
        <w:t xml:space="preserve">7</w:t>
      </w:r>
      <w:r>
        <w:rPr>
          <w:rFonts w:ascii="Arial" w:cs="Arial" w:eastAsia="Arial" w:hAnsi="Arial"/>
          <w:sz w:val="24"/>
          <w:szCs w:val="24"/>
        </w:rPr>
        <w:t xml:space="preserve"> Chouinard framed the move as the alternative to selling or going public, either of which risked the values and the workforce.</w:t>
      </w:r>
      <w:r>
        <w:rPr>
          <w:rFonts w:ascii="Arial" w:cs="Arial" w:eastAsia="Arial" w:hAnsi="Arial"/>
          <w:sz w:val="24"/>
          <w:szCs w:val="24"/>
          <w:vertAlign w:val="superscript"/>
        </w:rPr>
        <w:t xml:space="preserve">6</w:t>
      </w:r>
      <w:r>
        <w:rPr>
          <w:rFonts w:ascii="Arial" w:cs="Arial" w:eastAsia="Arial" w:hAnsi="Arial"/>
          <w:sz w:val="24"/>
          <w:szCs w:val="24"/>
        </w:rPr>
        <w:t xml:space="preserve"> The design is worth noticing critically: the family paid $17.5 million in gift taxes on the trust transfer while avoiding an estimated $700 million had they sold — a structure praised as precedent-setting and criticized as tax-advantaged — and a 501(c)(4) can fund political activity.</w:t>
      </w:r>
      <w:r>
        <w:rPr>
          <w:rFonts w:ascii="Arial" w:cs="Arial" w:eastAsia="Arial" w:hAnsi="Arial"/>
          <w:sz w:val="24"/>
          <w:szCs w:val="24"/>
          <w:vertAlign w:val="superscript"/>
        </w:rPr>
        <w:t xml:space="preserve">18</w:t>
      </w:r>
    </w:p>
    <w:p>
      <w:pPr>
        <w:spacing w:after="160" w:line="276"/>
      </w:pPr>
      <w:r>
        <w:rPr>
          <w:rFonts w:ascii="Arial" w:cs="Arial" w:eastAsia="Arial" w:hAnsi="Arial"/>
          <w:sz w:val="24"/>
          <w:szCs w:val="24"/>
        </w:rPr>
        <w:t xml:space="preserve">As a theory test: Patagonia is a live experiment in SDT at the level of an entire firm. The ownership structure maximizes what the theory calls autonomous motivation: employees' effort now audibly serves a purpose ("Earth is now our only shareholder") rather than an owner's wealth, and the trust makes the purpose credibly permanent — solving the instrumentality problem that afflicts most corporate purpose statements, which employees rationally discount as marketing. The honest limits: Patagonia's workers are also paid competitive wages in a premium brand with strong margins — purpose rides on top of a sound extrinsic floor, exactly as the needs tradition predicts; the company's customers pay prices that fund the mission, a luxury unavailable to commodity businesses; and devotion to a mission can shade into self-exploitation, the dark twin of intrinsic motivation that Hochschild's emotional-labor lens (Week 2) would flag. Purpose here is not a substitute for the fundamentals. It is a multiplier on them.</w:t>
      </w:r>
    </w:p>
    <w:p>
      <w:pPr>
        <w:spacing w:after="100" w:before="180"/>
      </w:pPr>
      <w:r>
        <w:rPr>
          <w:rFonts w:ascii="Arial" w:cs="Arial" w:eastAsia="Arial" w:hAnsi="Arial"/>
          <w:b/>
          <w:bCs/>
          <w:i/>
          <w:iCs/>
          <w:sz w:val="24"/>
          <w:szCs w:val="24"/>
        </w:rPr>
        <w:t xml:space="preserve">The Comparison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3510"/>
        <w:gridCol w:w="3510"/>
      </w:tblGrid>
      <w:tr>
        <w:tc>
          <w:tcPr>
            <w:tcW w:type="dxa" w:w="2340"/>
            <w:tcBorders>
              <w:top w:val="single" w:color="000000" w:sz="4"/>
              <w:left w:val="single" w:color="000000" w:sz="4"/>
              <w:bottom w:val="single" w:color="000000" w:sz="4"/>
              <w:right w:val="single" w:color="000000" w:sz="4"/>
            </w:tcBorders>
            <w:shd w:fill="D9D9D9" w:val="clear"/>
            <w:tcMar>
              <w:top w:type="dxa" w:w="80"/>
              <w:left w:type="dxa" w:w="100"/>
              <w:bottom w:type="dxa" w:w="80"/>
              <w:right w:type="dxa" w:w="100"/>
            </w:tcMar>
          </w:tcPr>
          <w:p>
            <w:pPr>
              <w:spacing w:after="0"/>
            </w:pPr>
          </w:p>
        </w:tc>
        <w:tc>
          <w:tcPr>
            <w:tcW w:type="dxa" w:w="3510"/>
            <w:tcBorders>
              <w:top w:val="single" w:color="000000" w:sz="4"/>
              <w:left w:val="single" w:color="000000" w:sz="4"/>
              <w:bottom w:val="single" w:color="000000" w:sz="4"/>
              <w:right w:val="single" w:color="000000" w:sz="4"/>
            </w:tcBorders>
            <w:shd w:fill="D9D9D9" w:val="clear"/>
            <w:tcMar>
              <w:top w:type="dxa" w:w="80"/>
              <w:left w:type="dxa" w:w="100"/>
              <w:bottom w:type="dxa" w:w="80"/>
              <w:right w:type="dxa" w:w="100"/>
            </w:tcMar>
          </w:tcPr>
          <w:p>
            <w:pPr>
              <w:spacing w:after="0"/>
            </w:pPr>
            <w:r>
              <w:rPr>
                <w:rFonts w:ascii="Arial" w:cs="Arial" w:eastAsia="Arial" w:hAnsi="Arial"/>
                <w:b/>
                <w:bCs/>
                <w:sz w:val="24"/>
                <w:szCs w:val="24"/>
              </w:rPr>
              <w:t xml:space="preserve">Wells Fargo (2002–2016)</w:t>
            </w:r>
          </w:p>
        </w:tc>
        <w:tc>
          <w:tcPr>
            <w:tcW w:type="dxa" w:w="3510"/>
            <w:tcBorders>
              <w:top w:val="single" w:color="000000" w:sz="4"/>
              <w:left w:val="single" w:color="000000" w:sz="4"/>
              <w:bottom w:val="single" w:color="000000" w:sz="4"/>
              <w:right w:val="single" w:color="000000" w:sz="4"/>
            </w:tcBorders>
            <w:shd w:fill="D9D9D9" w:val="clear"/>
            <w:tcMar>
              <w:top w:type="dxa" w:w="80"/>
              <w:left w:type="dxa" w:w="100"/>
              <w:bottom w:type="dxa" w:w="80"/>
              <w:right w:type="dxa" w:w="100"/>
            </w:tcMar>
          </w:tcPr>
          <w:p>
            <w:pPr>
              <w:spacing w:after="0"/>
            </w:pPr>
            <w:r>
              <w:rPr>
                <w:rFonts w:ascii="Arial" w:cs="Arial" w:eastAsia="Arial" w:hAnsi="Arial"/>
                <w:b/>
                <w:bCs/>
                <w:sz w:val="24"/>
                <w:szCs w:val="24"/>
              </w:rPr>
              <w:t xml:space="preserve">Patagonia (2022– )</w:t>
            </w:r>
          </w:p>
        </w:tc>
      </w:tr>
      <w:tr>
        <w:tc>
          <w:tcPr>
            <w:tcW w:type="dxa" w:w="2340"/>
            <w:tcBorders>
              <w:top w:val="single" w:color="000000" w:sz="4"/>
              <w:left w:val="single" w:color="000000" w:sz="4"/>
              <w:bottom w:val="single" w:color="000000" w:sz="4"/>
              <w:right w:val="single" w:color="000000" w:sz="4"/>
            </w:tcBorders>
            <w:tcMar>
              <w:top w:type="dxa" w:w="80"/>
              <w:left w:type="dxa" w:w="100"/>
              <w:bottom w:type="dxa" w:w="80"/>
              <w:right w:type="dxa" w:w="100"/>
            </w:tcMar>
          </w:tcPr>
          <w:p>
            <w:pPr>
              <w:spacing w:after="0"/>
            </w:pPr>
            <w:r>
              <w:rPr>
                <w:rFonts w:ascii="Arial" w:cs="Arial" w:eastAsia="Arial" w:hAnsi="Arial"/>
                <w:b/>
                <w:bCs/>
                <w:sz w:val="24"/>
                <w:szCs w:val="24"/>
              </w:rPr>
              <w:t xml:space="preserve">Motivation design</w:t>
            </w:r>
          </w:p>
        </w:tc>
        <w:tc>
          <w:tcPr>
            <w:tcW w:type="dxa" w:w="3510"/>
            <w:tcBorders>
              <w:top w:val="single" w:color="000000" w:sz="4"/>
              <w:left w:val="single" w:color="000000" w:sz="4"/>
              <w:bottom w:val="single" w:color="000000" w:sz="4"/>
              <w:right w:val="single" w:color="000000" w:sz="4"/>
            </w:tcBorders>
            <w:tcMar>
              <w:top w:type="dxa" w:w="80"/>
              <w:left w:type="dxa" w:w="100"/>
              <w:bottom w:type="dxa" w:w="80"/>
              <w:right w:type="dxa" w:w="100"/>
            </w:tcMar>
          </w:tcPr>
          <w:p>
            <w:pPr>
              <w:spacing w:after="0"/>
            </w:pPr>
            <w:r>
              <w:rPr>
                <w:rFonts w:ascii="Arial" w:cs="Arial" w:eastAsia="Arial" w:hAnsi="Arial"/>
                <w:b w:val="false"/>
                <w:bCs w:val="false"/>
                <w:sz w:val="24"/>
                <w:szCs w:val="24"/>
              </w:rPr>
              <w:t xml:space="preserve">High-powered extrinsic: daily quotas, pay/employment contingency</w:t>
            </w:r>
          </w:p>
        </w:tc>
        <w:tc>
          <w:tcPr>
            <w:tcW w:type="dxa" w:w="3510"/>
            <w:tcBorders>
              <w:top w:val="single" w:color="000000" w:sz="4"/>
              <w:left w:val="single" w:color="000000" w:sz="4"/>
              <w:bottom w:val="single" w:color="000000" w:sz="4"/>
              <w:right w:val="single" w:color="000000" w:sz="4"/>
            </w:tcBorders>
            <w:tcMar>
              <w:top w:type="dxa" w:w="80"/>
              <w:left w:type="dxa" w:w="100"/>
              <w:bottom w:type="dxa" w:w="80"/>
              <w:right w:type="dxa" w:w="100"/>
            </w:tcMar>
          </w:tcPr>
          <w:p>
            <w:pPr>
              <w:spacing w:after="0"/>
            </w:pPr>
            <w:r>
              <w:rPr>
                <w:rFonts w:ascii="Arial" w:cs="Arial" w:eastAsia="Arial" w:hAnsi="Arial"/>
                <w:b w:val="false"/>
                <w:bCs w:val="false"/>
                <w:sz w:val="24"/>
                <w:szCs w:val="24"/>
              </w:rPr>
              <w:t xml:space="preserve">Purpose-anchored: ownership payoff removed, mission made legally permanent</w:t>
            </w:r>
          </w:p>
        </w:tc>
      </w:tr>
      <w:tr>
        <w:tc>
          <w:tcPr>
            <w:tcW w:type="dxa" w:w="2340"/>
            <w:tcBorders>
              <w:top w:val="single" w:color="000000" w:sz="4"/>
              <w:left w:val="single" w:color="000000" w:sz="4"/>
              <w:bottom w:val="single" w:color="000000" w:sz="4"/>
              <w:right w:val="single" w:color="000000" w:sz="4"/>
            </w:tcBorders>
            <w:tcMar>
              <w:top w:type="dxa" w:w="80"/>
              <w:left w:type="dxa" w:w="100"/>
              <w:bottom w:type="dxa" w:w="80"/>
              <w:right w:type="dxa" w:w="100"/>
            </w:tcMar>
          </w:tcPr>
          <w:p>
            <w:pPr>
              <w:spacing w:after="0"/>
            </w:pPr>
            <w:r>
              <w:rPr>
                <w:rFonts w:ascii="Arial" w:cs="Arial" w:eastAsia="Arial" w:hAnsi="Arial"/>
                <w:b/>
                <w:bCs/>
                <w:sz w:val="24"/>
                <w:szCs w:val="24"/>
              </w:rPr>
              <w:t xml:space="preserve">Theory best explaining it</w:t>
            </w:r>
          </w:p>
        </w:tc>
        <w:tc>
          <w:tcPr>
            <w:tcW w:type="dxa" w:w="3510"/>
            <w:tcBorders>
              <w:top w:val="single" w:color="000000" w:sz="4"/>
              <w:left w:val="single" w:color="000000" w:sz="4"/>
              <w:bottom w:val="single" w:color="000000" w:sz="4"/>
              <w:right w:val="single" w:color="000000" w:sz="4"/>
            </w:tcBorders>
            <w:tcMar>
              <w:top w:type="dxa" w:w="80"/>
              <w:left w:type="dxa" w:w="100"/>
              <w:bottom w:type="dxa" w:w="80"/>
              <w:right w:type="dxa" w:w="100"/>
            </w:tcMar>
          </w:tcPr>
          <w:p>
            <w:pPr>
              <w:spacing w:after="0"/>
            </w:pPr>
            <w:r>
              <w:rPr>
                <w:rFonts w:ascii="Arial" w:cs="Arial" w:eastAsia="Arial" w:hAnsi="Arial"/>
                <w:b w:val="false"/>
                <w:bCs w:val="false"/>
                <w:sz w:val="24"/>
                <w:szCs w:val="24"/>
              </w:rPr>
              <w:t xml:space="preserve">Goal-setting + expectancy (and their failure modes)</w:t>
            </w:r>
          </w:p>
        </w:tc>
        <w:tc>
          <w:tcPr>
            <w:tcW w:type="dxa" w:w="3510"/>
            <w:tcBorders>
              <w:top w:val="single" w:color="000000" w:sz="4"/>
              <w:left w:val="single" w:color="000000" w:sz="4"/>
              <w:bottom w:val="single" w:color="000000" w:sz="4"/>
              <w:right w:val="single" w:color="000000" w:sz="4"/>
            </w:tcBorders>
            <w:tcMar>
              <w:top w:type="dxa" w:w="80"/>
              <w:left w:type="dxa" w:w="100"/>
              <w:bottom w:type="dxa" w:w="80"/>
              <w:right w:type="dxa" w:w="100"/>
            </w:tcMar>
          </w:tcPr>
          <w:p>
            <w:pPr>
              <w:spacing w:after="0"/>
            </w:pPr>
            <w:r>
              <w:rPr>
                <w:rFonts w:ascii="Arial" w:cs="Arial" w:eastAsia="Arial" w:hAnsi="Arial"/>
                <w:b w:val="false"/>
                <w:bCs w:val="false"/>
                <w:sz w:val="24"/>
                <w:szCs w:val="24"/>
              </w:rPr>
              <w:t xml:space="preserve">Self-determination theory (autonomy, purpose, credible commitment)</w:t>
            </w:r>
          </w:p>
        </w:tc>
      </w:tr>
      <w:tr>
        <w:tc>
          <w:tcPr>
            <w:tcW w:type="dxa" w:w="2340"/>
            <w:tcBorders>
              <w:top w:val="single" w:color="000000" w:sz="4"/>
              <w:left w:val="single" w:color="000000" w:sz="4"/>
              <w:bottom w:val="single" w:color="000000" w:sz="4"/>
              <w:right w:val="single" w:color="000000" w:sz="4"/>
            </w:tcBorders>
            <w:tcMar>
              <w:top w:type="dxa" w:w="80"/>
              <w:left w:type="dxa" w:w="100"/>
              <w:bottom w:type="dxa" w:w="80"/>
              <w:right w:type="dxa" w:w="100"/>
            </w:tcMar>
          </w:tcPr>
          <w:p>
            <w:pPr>
              <w:spacing w:after="0"/>
            </w:pPr>
            <w:r>
              <w:rPr>
                <w:rFonts w:ascii="Arial" w:cs="Arial" w:eastAsia="Arial" w:hAnsi="Arial"/>
                <w:b/>
                <w:bCs/>
                <w:sz w:val="24"/>
                <w:szCs w:val="24"/>
              </w:rPr>
              <w:t xml:space="preserve">What happened</w:t>
            </w:r>
          </w:p>
        </w:tc>
        <w:tc>
          <w:tcPr>
            <w:tcW w:type="dxa" w:w="3510"/>
            <w:tcBorders>
              <w:top w:val="single" w:color="000000" w:sz="4"/>
              <w:left w:val="single" w:color="000000" w:sz="4"/>
              <w:bottom w:val="single" w:color="000000" w:sz="4"/>
              <w:right w:val="single" w:color="000000" w:sz="4"/>
            </w:tcBorders>
            <w:tcMar>
              <w:top w:type="dxa" w:w="80"/>
              <w:left w:type="dxa" w:w="100"/>
              <w:bottom w:type="dxa" w:w="80"/>
              <w:right w:type="dxa" w:w="100"/>
            </w:tcMar>
          </w:tcPr>
          <w:p>
            <w:pPr>
              <w:spacing w:after="0"/>
            </w:pPr>
            <w:r>
              <w:rPr>
                <w:rFonts w:ascii="Arial" w:cs="Arial" w:eastAsia="Arial" w:hAnsi="Arial"/>
                <w:b w:val="false"/>
                <w:bCs w:val="false"/>
                <w:sz w:val="24"/>
                <w:szCs w:val="24"/>
              </w:rPr>
              <w:t xml:space="preserve">~3.5M unauthorized accounts; $3B settlement; 7-year asset cap, lifted 2025</w:t>
            </w:r>
          </w:p>
        </w:tc>
        <w:tc>
          <w:tcPr>
            <w:tcW w:type="dxa" w:w="3510"/>
            <w:tcBorders>
              <w:top w:val="single" w:color="000000" w:sz="4"/>
              <w:left w:val="single" w:color="000000" w:sz="4"/>
              <w:bottom w:val="single" w:color="000000" w:sz="4"/>
              <w:right w:val="single" w:color="000000" w:sz="4"/>
            </w:tcBorders>
            <w:tcMar>
              <w:top w:type="dxa" w:w="80"/>
              <w:left w:type="dxa" w:w="100"/>
              <w:bottom w:type="dxa" w:w="80"/>
              <w:right w:type="dxa" w:w="100"/>
            </w:tcMar>
          </w:tcPr>
          <w:p>
            <w:pPr>
              <w:spacing w:after="0"/>
            </w:pPr>
            <w:r>
              <w:rPr>
                <w:rFonts w:ascii="Arial" w:cs="Arial" w:eastAsia="Arial" w:hAnsi="Arial"/>
                <w:b w:val="false"/>
                <w:bCs w:val="false"/>
                <w:sz w:val="24"/>
                <w:szCs w:val="24"/>
              </w:rPr>
              <w:t xml:space="preserve">~$100M/yr profits to climate; values locked via trust; workforce devotion sustained</w:t>
            </w:r>
          </w:p>
        </w:tc>
      </w:tr>
      <w:tr>
        <w:tc>
          <w:tcPr>
            <w:tcW w:type="dxa" w:w="2340"/>
            <w:tcBorders>
              <w:top w:val="single" w:color="000000" w:sz="4"/>
              <w:left w:val="single" w:color="000000" w:sz="4"/>
              <w:bottom w:val="single" w:color="000000" w:sz="4"/>
              <w:right w:val="single" w:color="000000" w:sz="4"/>
            </w:tcBorders>
            <w:tcMar>
              <w:top w:type="dxa" w:w="80"/>
              <w:left w:type="dxa" w:w="100"/>
              <w:bottom w:type="dxa" w:w="80"/>
              <w:right w:type="dxa" w:w="100"/>
            </w:tcMar>
          </w:tcPr>
          <w:p>
            <w:pPr>
              <w:spacing w:after="0"/>
            </w:pPr>
            <w:r>
              <w:rPr>
                <w:rFonts w:ascii="Arial" w:cs="Arial" w:eastAsia="Arial" w:hAnsi="Arial"/>
                <w:b/>
                <w:bCs/>
                <w:sz w:val="24"/>
                <w:szCs w:val="24"/>
              </w:rPr>
              <w:t xml:space="preserve">Hidden condition</w:t>
            </w:r>
          </w:p>
        </w:tc>
        <w:tc>
          <w:tcPr>
            <w:tcW w:type="dxa" w:w="3510"/>
            <w:tcBorders>
              <w:top w:val="single" w:color="000000" w:sz="4"/>
              <w:left w:val="single" w:color="000000" w:sz="4"/>
              <w:bottom w:val="single" w:color="000000" w:sz="4"/>
              <w:right w:val="single" w:color="000000" w:sz="4"/>
            </w:tcBorders>
            <w:tcMar>
              <w:top w:type="dxa" w:w="80"/>
              <w:left w:type="dxa" w:w="100"/>
              <w:bottom w:type="dxa" w:w="80"/>
              <w:right w:type="dxa" w:w="100"/>
            </w:tcMar>
          </w:tcPr>
          <w:p>
            <w:pPr>
              <w:spacing w:after="0"/>
            </w:pPr>
            <w:r>
              <w:rPr>
                <w:rFonts w:ascii="Arial" w:cs="Arial" w:eastAsia="Arial" w:hAnsi="Arial"/>
                <w:b w:val="false"/>
                <w:bCs w:val="false"/>
                <w:sz w:val="24"/>
                <w:szCs w:val="24"/>
              </w:rPr>
              <w:t xml:space="preserve">Goals were unreachable honestly; no integrity counterweight; complaints ignored</w:t>
            </w:r>
          </w:p>
        </w:tc>
        <w:tc>
          <w:tcPr>
            <w:tcW w:type="dxa" w:w="3510"/>
            <w:tcBorders>
              <w:top w:val="single" w:color="000000" w:sz="4"/>
              <w:left w:val="single" w:color="000000" w:sz="4"/>
              <w:bottom w:val="single" w:color="000000" w:sz="4"/>
              <w:right w:val="single" w:color="000000" w:sz="4"/>
            </w:tcBorders>
            <w:tcMar>
              <w:top w:type="dxa" w:w="80"/>
              <w:left w:type="dxa" w:w="100"/>
              <w:bottom w:type="dxa" w:w="80"/>
              <w:right w:type="dxa" w:w="100"/>
            </w:tcMar>
          </w:tcPr>
          <w:p>
            <w:pPr>
              <w:spacing w:after="0"/>
            </w:pPr>
            <w:r>
              <w:rPr>
                <w:rFonts w:ascii="Arial" w:cs="Arial" w:eastAsia="Arial" w:hAnsi="Arial"/>
                <w:b w:val="false"/>
                <w:bCs w:val="false"/>
                <w:sz w:val="24"/>
                <w:szCs w:val="24"/>
              </w:rPr>
              <w:t xml:space="preserve">Competitive pay and premium margins underneath the purpose</w:t>
            </w:r>
          </w:p>
        </w:tc>
      </w:tr>
      <w:tr>
        <w:tc>
          <w:tcPr>
            <w:tcW w:type="dxa" w:w="2340"/>
            <w:tcBorders>
              <w:top w:val="single" w:color="000000" w:sz="4"/>
              <w:left w:val="single" w:color="000000" w:sz="4"/>
              <w:bottom w:val="single" w:color="000000" w:sz="4"/>
              <w:right w:val="single" w:color="000000" w:sz="4"/>
            </w:tcBorders>
            <w:tcMar>
              <w:top w:type="dxa" w:w="80"/>
              <w:left w:type="dxa" w:w="100"/>
              <w:bottom w:type="dxa" w:w="80"/>
              <w:right w:type="dxa" w:w="100"/>
            </w:tcMar>
          </w:tcPr>
          <w:p>
            <w:pPr>
              <w:spacing w:after="0"/>
            </w:pPr>
            <w:r>
              <w:rPr>
                <w:rFonts w:ascii="Arial" w:cs="Arial" w:eastAsia="Arial" w:hAnsi="Arial"/>
                <w:b/>
                <w:bCs/>
                <w:sz w:val="24"/>
                <w:szCs w:val="24"/>
              </w:rPr>
              <w:t xml:space="preserve">Generalizes when…</w:t>
            </w:r>
          </w:p>
        </w:tc>
        <w:tc>
          <w:tcPr>
            <w:tcW w:type="dxa" w:w="3510"/>
            <w:tcBorders>
              <w:top w:val="single" w:color="000000" w:sz="4"/>
              <w:left w:val="single" w:color="000000" w:sz="4"/>
              <w:bottom w:val="single" w:color="000000" w:sz="4"/>
              <w:right w:val="single" w:color="000000" w:sz="4"/>
            </w:tcBorders>
            <w:tcMar>
              <w:top w:type="dxa" w:w="80"/>
              <w:left w:type="dxa" w:w="100"/>
              <w:bottom w:type="dxa" w:w="80"/>
              <w:right w:type="dxa" w:w="100"/>
            </w:tcMar>
          </w:tcPr>
          <w:p>
            <w:pPr>
              <w:spacing w:after="0"/>
            </w:pPr>
            <w:r>
              <w:rPr>
                <w:rFonts w:ascii="Arial" w:cs="Arial" w:eastAsia="Arial" w:hAnsi="Arial"/>
                <w:b w:val="false"/>
                <w:bCs w:val="false"/>
                <w:sz w:val="24"/>
                <w:szCs w:val="24"/>
              </w:rPr>
              <w:t xml:space="preserve">Never as run; sales goals generalize only with reachable targets and monitored side effects</w:t>
            </w:r>
          </w:p>
        </w:tc>
        <w:tc>
          <w:tcPr>
            <w:tcW w:type="dxa" w:w="3510"/>
            <w:tcBorders>
              <w:top w:val="single" w:color="000000" w:sz="4"/>
              <w:left w:val="single" w:color="000000" w:sz="4"/>
              <w:bottom w:val="single" w:color="000000" w:sz="4"/>
              <w:right w:val="single" w:color="000000" w:sz="4"/>
            </w:tcBorders>
            <w:tcMar>
              <w:top w:type="dxa" w:w="80"/>
              <w:left w:type="dxa" w:w="100"/>
              <w:bottom w:type="dxa" w:w="80"/>
              <w:right w:type="dxa" w:w="100"/>
            </w:tcMar>
          </w:tcPr>
          <w:p>
            <w:pPr>
              <w:spacing w:after="0"/>
            </w:pPr>
            <w:r>
              <w:rPr>
                <w:rFonts w:ascii="Arial" w:cs="Arial" w:eastAsia="Arial" w:hAnsi="Arial"/>
                <w:b w:val="false"/>
                <w:bCs w:val="false"/>
                <w:sz w:val="24"/>
                <w:szCs w:val="24"/>
              </w:rPr>
              <w:t xml:space="preserve">Product supports margins and the purpose is credible — rarer than the press coverage implies</w:t>
            </w:r>
          </w:p>
        </w:tc>
      </w:tr>
    </w:tbl>
    <w:p>
      <w:pPr>
        <w:spacing w:after="160"/>
      </w:pPr>
    </w:p>
    <w:p>
      <w:pPr>
        <w:spacing w:after="100" w:before="180"/>
      </w:pPr>
      <w:r>
        <w:rPr>
          <w:rFonts w:ascii="Arial" w:cs="Arial" w:eastAsia="Arial" w:hAnsi="Arial"/>
          <w:b/>
          <w:bCs/>
          <w:i/>
          <w:iCs/>
          <w:sz w:val="24"/>
          <w:szCs w:val="24"/>
        </w:rPr>
        <w:t xml:space="preserve">Analytical Interpretation</w:t>
      </w:r>
    </w:p>
    <w:p>
      <w:pPr>
        <w:spacing w:after="160" w:line="276"/>
      </w:pPr>
      <w:r>
        <w:rPr>
          <w:rFonts w:ascii="Arial" w:cs="Arial" w:eastAsia="Arial" w:hAnsi="Arial"/>
          <w:sz w:val="24"/>
          <w:szCs w:val="24"/>
        </w:rPr>
        <w:t xml:space="preserve">Resist reading the pair as morality tale. Wells Fargo does not prove that incentives corrupt — it proves that </w:t>
      </w:r>
      <w:r>
        <w:rPr>
          <w:rFonts w:ascii="Arial" w:cs="Arial" w:eastAsia="Arial" w:hAnsi="Arial"/>
          <w:b/>
          <w:bCs/>
          <w:sz w:val="24"/>
          <w:szCs w:val="24"/>
        </w:rPr>
        <w:t xml:space="preserve">impossible goals with lethal contingencies</w:t>
      </w:r>
      <w:r>
        <w:rPr>
          <w:rFonts w:ascii="Arial" w:cs="Arial" w:eastAsia="Arial" w:hAnsi="Arial"/>
          <w:sz w:val="24"/>
          <w:szCs w:val="24"/>
        </w:rPr>
        <w:t xml:space="preserve"> corrupt, which goal-setting theory itself predicts once its commitment and ability conditions are violated. Patagonia does not prove that purpose replaces pay — its purpose sits on a well-funded extrinsic base, and its structure is easiest for a founder-controlled premium brand. The two cases also share a design insight that is easy to miss: both are about </w:t>
      </w:r>
      <w:r>
        <w:rPr>
          <w:rFonts w:ascii="Arial" w:cs="Arial" w:eastAsia="Arial" w:hAnsi="Arial"/>
          <w:b/>
          <w:bCs/>
          <w:sz w:val="24"/>
          <w:szCs w:val="24"/>
        </w:rPr>
        <w:t xml:space="preserve">credibility</w:t>
      </w:r>
      <w:r>
        <w:rPr>
          <w:rFonts w:ascii="Arial" w:cs="Arial" w:eastAsia="Arial" w:hAnsi="Arial"/>
          <w:sz w:val="24"/>
          <w:szCs w:val="24"/>
        </w:rPr>
        <w:t xml:space="preserve">. Wells Fargo's employees believed the threat completely, which is why the system worked catastrophically; Patagonia's employees believe the purpose completely, because the trust made betraying it legally difficult. Motivation systems run on what people believe will actually happen — Vroom's instrumentality — far more than on what leaders announce.</w:t>
      </w:r>
    </w:p>
    <w:p>
      <w:r>
        <w:br w:type="page"/>
      </w:r>
    </w:p>
    <w:p>
      <w:pPr>
        <w:shd w:fill="D9D9D9" w:val="clear"/>
        <w:spacing w:after="240" w:before="240"/>
      </w:pPr>
      <w:r>
        <w:rPr>
          <w:rFonts w:ascii="Arial" w:cs="Arial" w:eastAsia="Arial" w:hAnsi="Arial"/>
          <w:b/>
          <w:bCs/>
          <w:sz w:val="32"/>
          <w:szCs w:val="32"/>
        </w:rPr>
        <w:t xml:space="preserve">Part 4: Synthesis — What Money Buys, and What It Costs</w:t>
      </w:r>
    </w:p>
    <w:p>
      <w:pPr>
        <w:spacing w:after="160" w:line="276"/>
      </w:pPr>
      <w:r>
        <w:rPr>
          <w:rFonts w:ascii="Arial" w:cs="Arial" w:eastAsia="Arial" w:hAnsi="Arial"/>
          <w:sz w:val="24"/>
          <w:szCs w:val="24"/>
        </w:rPr>
        <w:t xml:space="preserve">Return to the central question: can you buy motivation? The evidence supports a four-part answer.</w:t>
      </w:r>
    </w:p>
    <w:p>
      <w:pPr>
        <w:spacing w:after="160" w:line="276"/>
      </w:pPr>
      <w:r>
        <w:rPr>
          <w:rFonts w:ascii="Arial" w:cs="Arial" w:eastAsia="Arial" w:hAnsi="Arial"/>
          <w:b/>
          <w:bCs/>
          <w:sz w:val="24"/>
          <w:szCs w:val="24"/>
        </w:rPr>
        <w:t xml:space="preserve">You can buy direction and quantity.</w:t>
      </w:r>
      <w:r>
        <w:rPr>
          <w:rFonts w:ascii="Arial" w:cs="Arial" w:eastAsia="Arial" w:hAnsi="Arial"/>
          <w:sz w:val="24"/>
          <w:szCs w:val="24"/>
        </w:rPr>
        <w:t xml:space="preserve"> Specific, difficult, reachable goals with meaningful rewards reliably raise measured output — the most replicated result in the field.</w:t>
      </w:r>
      <w:r>
        <w:rPr>
          <w:rFonts w:ascii="Arial" w:cs="Arial" w:eastAsia="Arial" w:hAnsi="Arial"/>
          <w:sz w:val="24"/>
          <w:szCs w:val="24"/>
          <w:vertAlign w:val="superscript"/>
        </w:rPr>
        <w:t xml:space="preserve">12</w:t>
      </w:r>
      <w:r>
        <w:rPr>
          <w:rFonts w:ascii="Arial" w:cs="Arial" w:eastAsia="Arial" w:hAnsi="Arial"/>
          <w:sz w:val="24"/>
          <w:szCs w:val="24"/>
        </w:rPr>
        <w:t xml:space="preserve"> Anyone who tells you incentives don't work has not read the evidence.</w:t>
      </w:r>
    </w:p>
    <w:p>
      <w:pPr>
        <w:spacing w:after="160" w:line="276"/>
      </w:pPr>
      <w:r>
        <w:rPr>
          <w:rFonts w:ascii="Arial" w:cs="Arial" w:eastAsia="Arial" w:hAnsi="Arial"/>
          <w:b/>
          <w:bCs/>
          <w:sz w:val="24"/>
          <w:szCs w:val="24"/>
        </w:rPr>
        <w:t xml:space="preserve">You cannot buy quality, judgment, or care — but you can rent the conditions for them.</w:t>
      </w:r>
      <w:r>
        <w:rPr>
          <w:rFonts w:ascii="Arial" w:cs="Arial" w:eastAsia="Arial" w:hAnsi="Arial"/>
          <w:sz w:val="24"/>
          <w:szCs w:val="24"/>
        </w:rPr>
        <w:t xml:space="preserve"> Intrinsic motivation predicts performance, especially its quality, with or without incentives present;</w:t>
      </w:r>
      <w:r>
        <w:rPr>
          <w:rFonts w:ascii="Arial" w:cs="Arial" w:eastAsia="Arial" w:hAnsi="Arial"/>
          <w:sz w:val="24"/>
          <w:szCs w:val="24"/>
          <w:vertAlign w:val="superscript"/>
        </w:rPr>
        <w:t xml:space="preserve">16</w:t>
      </w:r>
      <w:r>
        <w:rPr>
          <w:rFonts w:ascii="Arial" w:cs="Arial" w:eastAsia="Arial" w:hAnsi="Arial"/>
          <w:sz w:val="24"/>
          <w:szCs w:val="24"/>
        </w:rPr>
        <w:t xml:space="preserve"> it grows from autonomy, competence, relatedness, and credible purpose,</w:t>
      </w:r>
      <w:r>
        <w:rPr>
          <w:rFonts w:ascii="Arial" w:cs="Arial" w:eastAsia="Arial" w:hAnsi="Arial"/>
          <w:sz w:val="24"/>
          <w:szCs w:val="24"/>
          <w:vertAlign w:val="superscript"/>
        </w:rPr>
        <w:t xml:space="preserve">15</w:t>
      </w:r>
      <w:r>
        <w:rPr>
          <w:rFonts w:ascii="Arial" w:cs="Arial" w:eastAsia="Arial" w:hAnsi="Arial"/>
          <w:sz w:val="24"/>
          <w:szCs w:val="24"/>
        </w:rPr>
        <w:t xml:space="preserve"> and it can be crowded out by controlling, output-salient rewards.</w:t>
      </w:r>
      <w:r>
        <w:rPr>
          <w:rFonts w:ascii="Arial" w:cs="Arial" w:eastAsia="Arial" w:hAnsi="Arial"/>
          <w:sz w:val="24"/>
          <w:szCs w:val="24"/>
          <w:vertAlign w:val="superscript"/>
        </w:rPr>
        <w:t xml:space="preserve">14</w:t>
      </w:r>
    </w:p>
    <w:p>
      <w:pPr>
        <w:spacing w:after="160" w:line="276"/>
      </w:pPr>
      <w:r>
        <w:rPr>
          <w:rFonts w:ascii="Arial" w:cs="Arial" w:eastAsia="Arial" w:hAnsi="Arial"/>
          <w:b/>
          <w:bCs/>
          <w:sz w:val="24"/>
          <w:szCs w:val="24"/>
        </w:rPr>
        <w:t xml:space="preserve">Every incentive is also a message.</w:t>
      </w:r>
      <w:r>
        <w:rPr>
          <w:rFonts w:ascii="Arial" w:cs="Arial" w:eastAsia="Arial" w:hAnsi="Arial"/>
          <w:sz w:val="24"/>
          <w:szCs w:val="24"/>
        </w:rPr>
        <w:t xml:space="preserve"> Through equity and justice, the same dollar amount can read as recognition or insult;</w:t>
      </w:r>
      <w:r>
        <w:rPr>
          <w:rFonts w:ascii="Arial" w:cs="Arial" w:eastAsia="Arial" w:hAnsi="Arial"/>
          <w:sz w:val="24"/>
          <w:szCs w:val="24"/>
          <w:vertAlign w:val="superscript"/>
        </w:rPr>
        <w:t xml:space="preserve">11</w:t>
      </w:r>
      <w:r>
        <w:rPr>
          <w:rFonts w:ascii="Arial" w:cs="Arial" w:eastAsia="Arial" w:hAnsi="Arial"/>
          <w:sz w:val="24"/>
          <w:szCs w:val="24"/>
        </w:rPr>
        <w:t xml:space="preserve"> through expectancy, an unreachable target converts an incentive system into a fraud-generation system.</w:t>
      </w:r>
      <w:r>
        <w:rPr>
          <w:rFonts w:ascii="Arial" w:cs="Arial" w:eastAsia="Arial" w:hAnsi="Arial"/>
          <w:sz w:val="24"/>
          <w:szCs w:val="24"/>
          <w:vertAlign w:val="superscript"/>
        </w:rPr>
        <w:t xml:space="preserve">9</w:t>
      </w:r>
      <w:r>
        <w:rPr>
          <w:rFonts w:ascii="Arial" w:cs="Arial" w:eastAsia="Arial" w:hAnsi="Arial"/>
          <w:sz w:val="24"/>
          <w:szCs w:val="24"/>
          <w:vertAlign w:val="superscript"/>
        </w:rPr>
        <w:t xml:space="preserve">13</w:t>
      </w:r>
      <w:r>
        <w:rPr>
          <w:rFonts w:ascii="Arial" w:cs="Arial" w:eastAsia="Arial" w:hAnsi="Arial"/>
          <w:sz w:val="24"/>
          <w:szCs w:val="24"/>
        </w:rPr>
        <w:t xml:space="preserve"> Design the meaning, not just the amount.</w:t>
      </w:r>
    </w:p>
    <w:p>
      <w:pPr>
        <w:spacing w:after="160" w:line="276"/>
      </w:pPr>
      <w:r>
        <w:rPr>
          <w:rFonts w:ascii="Arial" w:cs="Arial" w:eastAsia="Arial" w:hAnsi="Arial"/>
          <w:b/>
          <w:bCs/>
          <w:sz w:val="24"/>
          <w:szCs w:val="24"/>
        </w:rPr>
        <w:t xml:space="preserve">Dose and monitor.</w:t>
      </w:r>
      <w:r>
        <w:rPr>
          <w:rFonts w:ascii="Arial" w:cs="Arial" w:eastAsia="Arial" w:hAnsi="Arial"/>
          <w:sz w:val="24"/>
          <w:szCs w:val="24"/>
        </w:rPr>
        <w:t xml:space="preserve"> Goals and incentives are the medication of management: effective at the right strength, toxic in overdose, and requiring active surveillance of side effects — the narrowed attention, the gamed metric, the ethical corner quietly cut.</w:t>
      </w:r>
      <w:r>
        <w:rPr>
          <w:rFonts w:ascii="Arial" w:cs="Arial" w:eastAsia="Arial" w:hAnsi="Arial"/>
          <w:sz w:val="24"/>
          <w:szCs w:val="24"/>
          <w:vertAlign w:val="superscript"/>
        </w:rPr>
        <w:t xml:space="preserve">13</w:t>
      </w:r>
      <w:r>
        <w:rPr>
          <w:rFonts w:ascii="Arial" w:cs="Arial" w:eastAsia="Arial" w:hAnsi="Arial"/>
          <w:sz w:val="24"/>
          <w:szCs w:val="24"/>
        </w:rPr>
        <w:t xml:space="preserve"> Wells Fargo is what the overdose looks like from inside a branch; Patagonia is what a credible purpose looks like on top of sound fundamentals. Most organizations you will manage live between them — which is exactly where the theories in this chapter earn their keep.</w:t>
      </w:r>
    </w:p>
    <w:p>
      <w:r>
        <w:br w:type="page"/>
      </w:r>
    </w:p>
    <w:p>
      <w:pPr>
        <w:shd w:fill="D9D9D9" w:val="clear"/>
        <w:spacing w:after="240" w:before="240"/>
      </w:pPr>
      <w:r>
        <w:rPr>
          <w:rFonts w:ascii="Arial" w:cs="Arial" w:eastAsia="Arial" w:hAnsi="Arial"/>
          <w:b/>
          <w:bCs/>
          <w:sz w:val="32"/>
          <w:szCs w:val="32"/>
        </w:rPr>
        <w:t xml:space="preserve">Sources and Further Reading</w:t>
      </w:r>
    </w:p>
    <w:p>
      <w:pPr>
        <w:spacing w:after="120"/>
      </w:pPr>
      <w:r>
        <w:rPr>
          <w:rFonts w:ascii="Arial" w:cs="Arial" w:eastAsia="Arial" w:hAnsi="Arial"/>
          <w:b/>
          <w:bCs/>
          <w:sz w:val="24"/>
          <w:szCs w:val="24"/>
        </w:rPr>
        <w:t xml:space="preserve">1. </w:t>
      </w:r>
      <w:r>
        <w:rPr>
          <w:rFonts w:ascii="Arial" w:cs="Arial" w:eastAsia="Arial" w:hAnsi="Arial"/>
          <w:sz w:val="24"/>
          <w:szCs w:val="24"/>
        </w:rPr>
        <w:t xml:space="preserve">U.S. Department of Justice. (2020, February 21). Wells Fargo agrees to pay $3 billion to resolve criminal and civil investigations into sales practices involving the opening of millions of accounts without customer authorization [Press release]. https://www.justice.gov/archives/opa/pr/wells-fargo-agrees-pay-3-billion-resolve-criminal-and-civil-investigations-sales-practices</w:t>
      </w:r>
    </w:p>
    <w:p>
      <w:pPr>
        <w:spacing w:after="120"/>
      </w:pPr>
      <w:r>
        <w:rPr>
          <w:rFonts w:ascii="Arial" w:cs="Arial" w:eastAsia="Arial" w:hAnsi="Arial"/>
          <w:b/>
          <w:bCs/>
          <w:sz w:val="24"/>
          <w:szCs w:val="24"/>
        </w:rPr>
        <w:t xml:space="preserve">2. </w:t>
      </w:r>
      <w:r>
        <w:rPr>
          <w:rFonts w:ascii="Arial" w:cs="Arial" w:eastAsia="Arial" w:hAnsi="Arial"/>
          <w:sz w:val="24"/>
          <w:szCs w:val="24"/>
        </w:rPr>
        <w:t xml:space="preserve">NBC News. (2020, February 21). Wells Fargo to pay $3 billion over fake account scandal. https://www.nbcnews.com/news/all/wells-fargo-pay-3-billion-over-fake-account-scandal-n1140541</w:t>
      </w:r>
    </w:p>
    <w:p>
      <w:pPr>
        <w:spacing w:after="120"/>
      </w:pPr>
      <w:r>
        <w:rPr>
          <w:rFonts w:ascii="Arial" w:cs="Arial" w:eastAsia="Arial" w:hAnsi="Arial"/>
          <w:b/>
          <w:bCs/>
          <w:sz w:val="24"/>
          <w:szCs w:val="24"/>
        </w:rPr>
        <w:t xml:space="preserve">3. </w:t>
      </w:r>
      <w:r>
        <w:rPr>
          <w:rFonts w:ascii="Arial" w:cs="Arial" w:eastAsia="Arial" w:hAnsi="Arial"/>
          <w:sz w:val="24"/>
          <w:szCs w:val="24"/>
        </w:rPr>
        <w:t xml:space="preserve">Associated Press. (2025, June 3). Fed lifts restrictions placed on Wells Fargo in 2018 because of its fake-accounts scandal. https://www.marketbeat.com/articles/fed-lifts-restrictions-placed-on-wells-fargo-in-2018-because-of-its-fake-accounts-scandal-2025-06-03</w:t>
      </w:r>
    </w:p>
    <w:p>
      <w:pPr>
        <w:spacing w:after="120"/>
      </w:pPr>
      <w:r>
        <w:rPr>
          <w:rFonts w:ascii="Arial" w:cs="Arial" w:eastAsia="Arial" w:hAnsi="Arial"/>
          <w:b/>
          <w:bCs/>
          <w:sz w:val="24"/>
          <w:szCs w:val="24"/>
        </w:rPr>
        <w:t xml:space="preserve">4. </w:t>
      </w:r>
      <w:r>
        <w:rPr>
          <w:rFonts w:ascii="Arial" w:cs="Arial" w:eastAsia="Arial" w:hAnsi="Arial"/>
          <w:sz w:val="24"/>
          <w:szCs w:val="24"/>
        </w:rPr>
        <w:t xml:space="preserve">Reuters. (2026, March 5). Fed terminates enforcement action imposed on Wells Fargo due to fake accounts scandal. https://money.usnews.com/investing/news/articles/2026-03-05/fed-terminates-enforcement-action-imposed-on-wells-fargo-due-to-fake-accounts-scandal</w:t>
      </w:r>
    </w:p>
    <w:p>
      <w:pPr>
        <w:spacing w:after="120"/>
      </w:pPr>
      <w:r>
        <w:rPr>
          <w:rFonts w:ascii="Arial" w:cs="Arial" w:eastAsia="Arial" w:hAnsi="Arial"/>
          <w:b/>
          <w:bCs/>
          <w:sz w:val="24"/>
          <w:szCs w:val="24"/>
        </w:rPr>
        <w:t xml:space="preserve">5. </w:t>
      </w:r>
      <w:r>
        <w:rPr>
          <w:rFonts w:ascii="Arial" w:cs="Arial" w:eastAsia="Arial" w:hAnsi="Arial"/>
          <w:sz w:val="24"/>
          <w:szCs w:val="24"/>
        </w:rPr>
        <w:t xml:space="preserve">Patagonia Works. (2022, September 14). Patagonia's next chapter: Earth is now our only shareholder [Press release]. https://www.patagoniaworks.com/press/2022/9/14/patagonias-next-chapter-earth-is-now-our-only-shareholder</w:t>
      </w:r>
    </w:p>
    <w:p>
      <w:pPr>
        <w:spacing w:after="120"/>
      </w:pPr>
      <w:r>
        <w:rPr>
          <w:rFonts w:ascii="Arial" w:cs="Arial" w:eastAsia="Arial" w:hAnsi="Arial"/>
          <w:b/>
          <w:bCs/>
          <w:sz w:val="24"/>
          <w:szCs w:val="24"/>
        </w:rPr>
        <w:t xml:space="preserve">6. </w:t>
      </w:r>
      <w:r>
        <w:rPr>
          <w:rFonts w:ascii="Arial" w:cs="Arial" w:eastAsia="Arial" w:hAnsi="Arial"/>
          <w:sz w:val="24"/>
          <w:szCs w:val="24"/>
        </w:rPr>
        <w:t xml:space="preserve">CNBC. (2022, September 15). Why Patagonia's billionaire founder gave away his $3 billion company to fight climate change. https://www.cnbc.com/2022/09/15/yvon-chouinard-donates-patagonia-to-fight-climate-change-protect-land.html</w:t>
      </w:r>
    </w:p>
    <w:p>
      <w:pPr>
        <w:spacing w:after="120"/>
      </w:pPr>
      <w:r>
        <w:rPr>
          <w:rFonts w:ascii="Arial" w:cs="Arial" w:eastAsia="Arial" w:hAnsi="Arial"/>
          <w:b/>
          <w:bCs/>
          <w:sz w:val="24"/>
          <w:szCs w:val="24"/>
        </w:rPr>
        <w:t xml:space="preserve">7. </w:t>
      </w:r>
      <w:r>
        <w:rPr>
          <w:rFonts w:ascii="Arial" w:cs="Arial" w:eastAsia="Arial" w:hAnsi="Arial"/>
          <w:sz w:val="24"/>
          <w:szCs w:val="24"/>
        </w:rPr>
        <w:t xml:space="preserve">Patagonia. (2022). Ownership: Earth is now our only shareholder. https://www.patagonia.com/ownership/</w:t>
      </w:r>
    </w:p>
    <w:p>
      <w:pPr>
        <w:spacing w:after="120"/>
      </w:pPr>
      <w:r>
        <w:rPr>
          <w:rFonts w:ascii="Arial" w:cs="Arial" w:eastAsia="Arial" w:hAnsi="Arial"/>
          <w:b/>
          <w:bCs/>
          <w:sz w:val="24"/>
          <w:szCs w:val="24"/>
        </w:rPr>
        <w:t xml:space="preserve">8. </w:t>
      </w:r>
      <w:r>
        <w:rPr>
          <w:rFonts w:ascii="Arial" w:cs="Arial" w:eastAsia="Arial" w:hAnsi="Arial"/>
          <w:sz w:val="24"/>
          <w:szCs w:val="24"/>
        </w:rPr>
        <w:t xml:space="preserve">Maslow, A. H. (1943). A theory of human motivation. Psychological Review, 50(4), 370–396. https://doi.org/10.1037/h0054346</w:t>
      </w:r>
    </w:p>
    <w:p>
      <w:pPr>
        <w:spacing w:after="120"/>
      </w:pPr>
      <w:r>
        <w:rPr>
          <w:rFonts w:ascii="Arial" w:cs="Arial" w:eastAsia="Arial" w:hAnsi="Arial"/>
          <w:b/>
          <w:bCs/>
          <w:sz w:val="24"/>
          <w:szCs w:val="24"/>
        </w:rPr>
        <w:t xml:space="preserve">9. </w:t>
      </w:r>
      <w:r>
        <w:rPr>
          <w:rFonts w:ascii="Arial" w:cs="Arial" w:eastAsia="Arial" w:hAnsi="Arial"/>
          <w:sz w:val="24"/>
          <w:szCs w:val="24"/>
        </w:rPr>
        <w:t xml:space="preserve">Vroom, V. H. (1964). Work and motivation. Wiley.</w:t>
      </w:r>
    </w:p>
    <w:p>
      <w:pPr>
        <w:spacing w:after="120"/>
      </w:pPr>
      <w:r>
        <w:rPr>
          <w:rFonts w:ascii="Arial" w:cs="Arial" w:eastAsia="Arial" w:hAnsi="Arial"/>
          <w:b/>
          <w:bCs/>
          <w:sz w:val="24"/>
          <w:szCs w:val="24"/>
        </w:rPr>
        <w:t xml:space="preserve">10. </w:t>
      </w:r>
      <w:r>
        <w:rPr>
          <w:rFonts w:ascii="Arial" w:cs="Arial" w:eastAsia="Arial" w:hAnsi="Arial"/>
          <w:sz w:val="24"/>
          <w:szCs w:val="24"/>
        </w:rPr>
        <w:t xml:space="preserve">Adams, J. S. (1965). Inequity in social exchange. In L. Berkowitz (Ed.), Advances in experimental social psychology (Vol. 2, pp. 267–299). Academic Press. https://doi.org/10.1016/S0065-2601(08)60108-2</w:t>
      </w:r>
    </w:p>
    <w:p>
      <w:pPr>
        <w:spacing w:after="120"/>
      </w:pPr>
      <w:r>
        <w:rPr>
          <w:rFonts w:ascii="Arial" w:cs="Arial" w:eastAsia="Arial" w:hAnsi="Arial"/>
          <w:b/>
          <w:bCs/>
          <w:sz w:val="24"/>
          <w:szCs w:val="24"/>
        </w:rPr>
        <w:t xml:space="preserve">11. </w:t>
      </w:r>
      <w:r>
        <w:rPr>
          <w:rFonts w:ascii="Arial" w:cs="Arial" w:eastAsia="Arial" w:hAnsi="Arial"/>
          <w:sz w:val="24"/>
          <w:szCs w:val="24"/>
        </w:rPr>
        <w:t xml:space="preserve">Colquitt, J. A., Conlon, D. E., Wesson, M. J., Porter, C. O. L. H., &amp; Ng, K. Y. (2001). Justice at the millennium: A meta-analytic review of 25 years of organizational justice research. Journal of Applied Psychology, 86(3), 425–445. https://doi.org/10.1037/0021-9010.86.3.425</w:t>
      </w:r>
    </w:p>
    <w:p>
      <w:pPr>
        <w:spacing w:after="120"/>
      </w:pPr>
      <w:r>
        <w:rPr>
          <w:rFonts w:ascii="Arial" w:cs="Arial" w:eastAsia="Arial" w:hAnsi="Arial"/>
          <w:b/>
          <w:bCs/>
          <w:sz w:val="24"/>
          <w:szCs w:val="24"/>
        </w:rPr>
        <w:t xml:space="preserve">12. </w:t>
      </w:r>
      <w:r>
        <w:rPr>
          <w:rFonts w:ascii="Arial" w:cs="Arial" w:eastAsia="Arial" w:hAnsi="Arial"/>
          <w:sz w:val="24"/>
          <w:szCs w:val="24"/>
        </w:rPr>
        <w:t xml:space="preserve">Locke, E. A., &amp; Latham, G. P. (2002). Building a practically useful theory of goal setting and task motivation: A 35-year odyssey. American Psychologist, 57(9), 705–717. https://doi.org/10.1037/0003-066X.57.9.705</w:t>
      </w:r>
    </w:p>
    <w:p>
      <w:pPr>
        <w:spacing w:after="120"/>
      </w:pPr>
      <w:r>
        <w:rPr>
          <w:rFonts w:ascii="Arial" w:cs="Arial" w:eastAsia="Arial" w:hAnsi="Arial"/>
          <w:b/>
          <w:bCs/>
          <w:sz w:val="24"/>
          <w:szCs w:val="24"/>
        </w:rPr>
        <w:t xml:space="preserve">13. </w:t>
      </w:r>
      <w:r>
        <w:rPr>
          <w:rFonts w:ascii="Arial" w:cs="Arial" w:eastAsia="Arial" w:hAnsi="Arial"/>
          <w:sz w:val="24"/>
          <w:szCs w:val="24"/>
        </w:rPr>
        <w:t xml:space="preserve">Ordóñez, L. D., Schweitzer, M. E., Galinsky, A. D., &amp; Bazerman, M. H. (2009). Goals gone wild: The systematic side effects of overprescribing goal setting. Academy of Management Perspectives, 23(1), 6–16. https://doi.org/10.5465/amp.2009.37007999</w:t>
      </w:r>
    </w:p>
    <w:p>
      <w:pPr>
        <w:spacing w:after="120"/>
      </w:pPr>
      <w:r>
        <w:rPr>
          <w:rFonts w:ascii="Arial" w:cs="Arial" w:eastAsia="Arial" w:hAnsi="Arial"/>
          <w:b/>
          <w:bCs/>
          <w:sz w:val="24"/>
          <w:szCs w:val="24"/>
        </w:rPr>
        <w:t xml:space="preserve">14. </w:t>
      </w:r>
      <w:r>
        <w:rPr>
          <w:rFonts w:ascii="Arial" w:cs="Arial" w:eastAsia="Arial" w:hAnsi="Arial"/>
          <w:sz w:val="24"/>
          <w:szCs w:val="24"/>
        </w:rPr>
        <w:t xml:space="preserve">Deci, E. L., Koestner, R., &amp; Ryan, R. M. (1999). A meta-analytic review of experiments examining the effects of extrinsic rewards on intrinsic motivation. Psychological Bulletin, 125(6), 627–668. https://doi.org/10.1037/0033-2909.125.6.627</w:t>
      </w:r>
    </w:p>
    <w:p>
      <w:pPr>
        <w:spacing w:after="120"/>
      </w:pPr>
      <w:r>
        <w:rPr>
          <w:rFonts w:ascii="Arial" w:cs="Arial" w:eastAsia="Arial" w:hAnsi="Arial"/>
          <w:b/>
          <w:bCs/>
          <w:sz w:val="24"/>
          <w:szCs w:val="24"/>
        </w:rPr>
        <w:t xml:space="preserve">15. </w:t>
      </w:r>
      <w:r>
        <w:rPr>
          <w:rFonts w:ascii="Arial" w:cs="Arial" w:eastAsia="Arial" w:hAnsi="Arial"/>
          <w:sz w:val="24"/>
          <w:szCs w:val="24"/>
        </w:rPr>
        <w:t xml:space="preserve">Ryan, R. M., &amp; Deci, E. L. (2000). Self-determination theory and the facilitation of intrinsic motivation, social development, and well-being. American Psychologist, 55(1), 68–78. https://doi.org/10.1037/0003-066X.55.1.68</w:t>
      </w:r>
    </w:p>
    <w:p>
      <w:pPr>
        <w:spacing w:after="120"/>
      </w:pPr>
      <w:r>
        <w:rPr>
          <w:rFonts w:ascii="Arial" w:cs="Arial" w:eastAsia="Arial" w:hAnsi="Arial"/>
          <w:b/>
          <w:bCs/>
          <w:sz w:val="24"/>
          <w:szCs w:val="24"/>
        </w:rPr>
        <w:t xml:space="preserve">16. </w:t>
      </w:r>
      <w:r>
        <w:rPr>
          <w:rFonts w:ascii="Arial" w:cs="Arial" w:eastAsia="Arial" w:hAnsi="Arial"/>
          <w:sz w:val="24"/>
          <w:szCs w:val="24"/>
        </w:rPr>
        <w:t xml:space="preserve">Cerasoli, C. P., Nicklin, J. M., &amp; Ford, M. T. (2014). Intrinsic motivation and extrinsic incentives jointly predict performance: A 40-year meta-analysis. Psychological Bulletin, 140(4), 980–1008. https://doi.org/10.1037/a0035661</w:t>
      </w:r>
    </w:p>
    <w:p>
      <w:pPr>
        <w:spacing w:after="120"/>
      </w:pPr>
      <w:r>
        <w:rPr>
          <w:rFonts w:ascii="Arial" w:cs="Arial" w:eastAsia="Arial" w:hAnsi="Arial"/>
          <w:b/>
          <w:bCs/>
          <w:sz w:val="24"/>
          <w:szCs w:val="24"/>
        </w:rPr>
        <w:t xml:space="preserve">17. </w:t>
      </w:r>
      <w:r>
        <w:rPr>
          <w:rFonts w:ascii="Arial" w:cs="Arial" w:eastAsia="Arial" w:hAnsi="Arial"/>
          <w:sz w:val="24"/>
          <w:szCs w:val="24"/>
        </w:rPr>
        <w:t xml:space="preserve">Judge, T. A., Piccolo, R. F., Podsakoff, N. P., Shaw, J. C., &amp; Rich, B. L. (2010). The relationship between pay and job satisfaction: A meta-analysis of the literature. Journal of Vocational Behavior, 77(2), 157–167. https://doi.org/10.1016/j.jvb.2010.04.002</w:t>
      </w:r>
    </w:p>
    <w:p>
      <w:pPr>
        <w:spacing w:after="120"/>
      </w:pPr>
      <w:r>
        <w:rPr>
          <w:rFonts w:ascii="Arial" w:cs="Arial" w:eastAsia="Arial" w:hAnsi="Arial"/>
          <w:b/>
          <w:bCs/>
          <w:sz w:val="24"/>
          <w:szCs w:val="24"/>
        </w:rPr>
        <w:t xml:space="preserve">18. </w:t>
      </w:r>
      <w:r>
        <w:rPr>
          <w:rFonts w:ascii="Arial" w:cs="Arial" w:eastAsia="Arial" w:hAnsi="Arial"/>
          <w:sz w:val="24"/>
          <w:szCs w:val="24"/>
        </w:rPr>
        <w:t xml:space="preserve">Stamm, K. (2022, November 16). Patagonia founder preserving company values, protecting nature, and setting precedent through ownership transfer. The Race to the Bottom. https://www.theracetothebottom.org/rttb/2022/11/16/patagonia-founder-preserving-company-values-protecting-nature-and-setting-precedent-through-ownership-transfer</w:t>
      </w:r>
    </w:p>
    <w:p>
      <w:pPr>
        <w:spacing w:after="160" w:line="276"/>
      </w:pPr>
      <w:r>
        <w:rPr>
          <w:rFonts w:ascii="Arial" w:cs="Arial" w:eastAsia="Arial" w:hAnsi="Arial"/>
          <w:sz w:val="24"/>
          <w:szCs w:val="24"/>
        </w:rPr>
        <w:t xml:space="preserve">Notes appear as superscript numbers in the text and correspond to the numbered sources above. DOIs are provided where available; classic books are cited to their original publishers.</w:t>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000000"/>
        <w:sz w:val="24"/>
        <w:szCs w:val="24"/>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2026-08-23T16:07:38.298Z</dcterms:created>
  <dcterms:modified xsi:type="dcterms:W3CDTF">2026-08-23T16:07:38.298Z</dcterms:modified>
</cp:coreProperties>
</file>

<file path=docProps/custom.xml><?xml version="1.0" encoding="utf-8"?>
<Properties xmlns="http://schemas.openxmlformats.org/officeDocument/2006/custom-properties" xmlns:vt="http://schemas.openxmlformats.org/officeDocument/2006/docPropsVTypes"/>
</file>